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078" w:rsidRPr="008439E8" w:rsidRDefault="00263078" w:rsidP="00EF34D5">
      <w:pPr>
        <w:pStyle w:val="Coversheet"/>
        <w:jc w:val="left"/>
      </w:pPr>
      <w:bookmarkStart w:id="0" w:name="_Toc395780022"/>
      <w:bookmarkStart w:id="1" w:name="_GoBack"/>
      <w:bookmarkEnd w:id="1"/>
      <w:r w:rsidRPr="008439E8">
        <w:t>The effect of sibutramine prescribing in routine clinical practice on cardiovascular outcomes: a cohort study in the United Kingdom</w:t>
      </w:r>
    </w:p>
    <w:p w:rsidR="00263078" w:rsidRPr="008439E8" w:rsidRDefault="00263078" w:rsidP="00EF34D5">
      <w:pPr>
        <w:rPr>
          <w:b/>
        </w:rPr>
      </w:pPr>
      <w:r w:rsidRPr="008439E8">
        <w:rPr>
          <w:b/>
        </w:rPr>
        <w:t xml:space="preserve">Running title: </w:t>
      </w:r>
      <w:r w:rsidR="00783029" w:rsidRPr="008439E8">
        <w:t>s</w:t>
      </w:r>
      <w:r w:rsidRPr="008439E8">
        <w:t>ibutramine vs orlistat: cardiovascular events</w:t>
      </w:r>
    </w:p>
    <w:p w:rsidR="00263078" w:rsidRPr="008439E8" w:rsidRDefault="00263078" w:rsidP="00EF34D5">
      <w:pPr>
        <w:rPr>
          <w:b/>
        </w:rPr>
      </w:pPr>
      <w:r w:rsidRPr="008439E8">
        <w:rPr>
          <w:b/>
        </w:rPr>
        <w:t>Authors:</w:t>
      </w:r>
    </w:p>
    <w:p w:rsidR="00263078" w:rsidRPr="008439E8" w:rsidRDefault="00263078" w:rsidP="00EF34D5">
      <w:pPr>
        <w:rPr>
          <w:rStyle w:val="st"/>
        </w:rPr>
      </w:pPr>
      <w:r w:rsidRPr="008439E8">
        <w:t xml:space="preserve">Joseph F Hayes, Division of Psychiatry, UCL. </w:t>
      </w:r>
      <w:r w:rsidR="00B87EEE" w:rsidRPr="008439E8">
        <w:t>Maple House</w:t>
      </w:r>
      <w:r w:rsidRPr="008439E8">
        <w:t xml:space="preserve">, </w:t>
      </w:r>
      <w:r w:rsidR="00B87EEE" w:rsidRPr="008439E8">
        <w:t>Tottenham Court Road</w:t>
      </w:r>
      <w:r w:rsidRPr="008439E8">
        <w:t xml:space="preserve">, London, </w:t>
      </w:r>
      <w:r w:rsidR="00B87EEE" w:rsidRPr="008439E8">
        <w:rPr>
          <w:rStyle w:val="st"/>
        </w:rPr>
        <w:t>W1T 7NF</w:t>
      </w:r>
      <w:r w:rsidRPr="008439E8">
        <w:rPr>
          <w:rStyle w:val="st"/>
        </w:rPr>
        <w:t xml:space="preserve">. Tel: 02076799736 email: </w:t>
      </w:r>
      <w:hyperlink r:id="rId8" w:history="1">
        <w:r w:rsidRPr="008439E8">
          <w:rPr>
            <w:rStyle w:val="Hyperlink"/>
          </w:rPr>
          <w:t>joseph.hayes@ucl.ac.uk</w:t>
        </w:r>
      </w:hyperlink>
    </w:p>
    <w:p w:rsidR="00263078" w:rsidRPr="008439E8" w:rsidRDefault="00263078" w:rsidP="00EF34D5">
      <w:r w:rsidRPr="008439E8">
        <w:t>Krishnan Bhaskaran, Department of Non-Communicable Disease Epidemiology, London School of Hygiene and Tropical Medicine.</w:t>
      </w:r>
    </w:p>
    <w:p w:rsidR="00263078" w:rsidRPr="008439E8" w:rsidRDefault="00263078" w:rsidP="00EF34D5">
      <w:r w:rsidRPr="008439E8">
        <w:t xml:space="preserve">Rachel Batterham, Department of Medicine, UCL. </w:t>
      </w:r>
    </w:p>
    <w:p w:rsidR="00263078" w:rsidRPr="008439E8" w:rsidRDefault="00263078" w:rsidP="00EF34D5">
      <w:r w:rsidRPr="008439E8">
        <w:t xml:space="preserve">Liam Smeeth, Department of Non-Communicable Disease Epidemiology, London School of Hygiene and Tropical Medicine. </w:t>
      </w:r>
    </w:p>
    <w:p w:rsidR="00783029" w:rsidRPr="008439E8" w:rsidRDefault="00783029" w:rsidP="00783029">
      <w:r w:rsidRPr="008439E8">
        <w:t>Ian Douglas, Department of Non-Communicable Disease Epidemiology, London School of Hygiene and Tropical Medicine.</w:t>
      </w:r>
    </w:p>
    <w:p w:rsidR="00263078" w:rsidRPr="008439E8" w:rsidRDefault="00263078" w:rsidP="00EF34D5"/>
    <w:p w:rsidR="00694B96" w:rsidRPr="008439E8" w:rsidRDefault="00694B96" w:rsidP="00EF34D5">
      <w:r w:rsidRPr="008439E8">
        <w:rPr>
          <w:b/>
        </w:rPr>
        <w:t xml:space="preserve">Key words: </w:t>
      </w:r>
      <w:r w:rsidRPr="008439E8">
        <w:t>Cardiovascular diseases, weight management, side effects, pharmacology</w:t>
      </w:r>
    </w:p>
    <w:p w:rsidR="00263078" w:rsidRPr="008439E8" w:rsidRDefault="00263078" w:rsidP="00EF34D5">
      <w:r w:rsidRPr="008439E8">
        <w:rPr>
          <w:b/>
        </w:rPr>
        <w:t>Acknowlegements:</w:t>
      </w:r>
      <w:r w:rsidR="00694B96" w:rsidRPr="008439E8">
        <w:t xml:space="preserve"> </w:t>
      </w:r>
      <w:r w:rsidRPr="008439E8">
        <w:t>Joseph F Hayes is supported by a Medical Research Council</w:t>
      </w:r>
      <w:r w:rsidR="00694B96" w:rsidRPr="008439E8">
        <w:t xml:space="preserve"> Population Health Fellowship. </w:t>
      </w:r>
      <w:r w:rsidRPr="008439E8">
        <w:t>Liam Smeeth is supported by a Wellcome Tr</w:t>
      </w:r>
      <w:r w:rsidR="00694B96" w:rsidRPr="008439E8">
        <w:t>ust Senior Clinical Fellowship.</w:t>
      </w:r>
    </w:p>
    <w:p w:rsidR="00263078" w:rsidRPr="008439E8" w:rsidRDefault="00263078" w:rsidP="00EF34D5">
      <w:r w:rsidRPr="008439E8">
        <w:rPr>
          <w:b/>
        </w:rPr>
        <w:t>Conflict of Interest:</w:t>
      </w:r>
      <w:r w:rsidR="00694B96" w:rsidRPr="008439E8">
        <w:t xml:space="preserve"> </w:t>
      </w:r>
      <w:r w:rsidR="002757D0" w:rsidRPr="008439E8">
        <w:t xml:space="preserve">The authors declare no </w:t>
      </w:r>
      <w:r w:rsidRPr="008439E8">
        <w:t>conflict of interest.</w:t>
      </w:r>
    </w:p>
    <w:p w:rsidR="00263078" w:rsidRPr="008439E8" w:rsidRDefault="00263078" w:rsidP="00EF34D5">
      <w:pPr>
        <w:pStyle w:val="Heading1"/>
        <w:rPr>
          <w:rFonts w:ascii="Arial" w:hAnsi="Arial" w:cs="Arial"/>
        </w:rPr>
      </w:pPr>
      <w:r w:rsidRPr="008439E8">
        <w:rPr>
          <w:rFonts w:ascii="Arial" w:hAnsi="Arial" w:cs="Arial"/>
        </w:rPr>
        <w:lastRenderedPageBreak/>
        <w:t>Abstract</w:t>
      </w:r>
      <w:bookmarkEnd w:id="0"/>
    </w:p>
    <w:p w:rsidR="00263078" w:rsidRPr="008439E8" w:rsidRDefault="00263078" w:rsidP="00EF34D5">
      <w:pPr>
        <w:pStyle w:val="Heading4"/>
        <w:spacing w:before="0" w:line="480" w:lineRule="auto"/>
        <w:rPr>
          <w:rFonts w:ascii="Arial" w:hAnsi="Arial" w:cs="Arial"/>
          <w:b/>
          <w:color w:val="auto"/>
          <w:sz w:val="22"/>
          <w:szCs w:val="22"/>
        </w:rPr>
      </w:pPr>
      <w:bookmarkStart w:id="2" w:name="_Toc395780023"/>
      <w:r w:rsidRPr="008439E8">
        <w:rPr>
          <w:rFonts w:ascii="Arial" w:hAnsi="Arial" w:cs="Arial"/>
          <w:b/>
          <w:color w:val="auto"/>
          <w:sz w:val="22"/>
          <w:szCs w:val="22"/>
        </w:rPr>
        <w:t>Background</w:t>
      </w:r>
      <w:bookmarkEnd w:id="2"/>
      <w:r w:rsidRPr="008439E8">
        <w:rPr>
          <w:rFonts w:ascii="Arial" w:hAnsi="Arial" w:cs="Arial"/>
          <w:b/>
          <w:color w:val="auto"/>
          <w:sz w:val="22"/>
          <w:szCs w:val="22"/>
        </w:rPr>
        <w:t>/Objectives</w:t>
      </w:r>
    </w:p>
    <w:p w:rsidR="00263078" w:rsidRPr="008439E8" w:rsidRDefault="00263078" w:rsidP="00EF34D5">
      <w:pPr>
        <w:spacing w:after="0" w:line="480" w:lineRule="auto"/>
        <w:rPr>
          <w:rFonts w:cs="Arial"/>
          <w:szCs w:val="22"/>
        </w:rPr>
      </w:pPr>
      <w:r w:rsidRPr="008439E8">
        <w:rPr>
          <w:rFonts w:cs="Arial"/>
          <w:szCs w:val="22"/>
        </w:rPr>
        <w:t>The marketing authorisation for the weight loss drug sibutramine was suspended in 2010 following a major trial that showed increased rates of non-fatal myocardial infarction and cerebrovascular events in patients with pre-existing cardiovascular disease. In routine clinical practice, sibutramine was already contraindicated in patients with cardiovascular disease and so the relevance of these influential clinical trial findings to the “real World” population of patients receiving or eligible for the drug is questionable. We assessed rates of myocardial infarction and cerebrovascular events in a cohort of patients prescribed sibutramine or orlistat in the UK.</w:t>
      </w:r>
    </w:p>
    <w:p w:rsidR="00263078" w:rsidRPr="008439E8" w:rsidRDefault="00263078" w:rsidP="00EF34D5">
      <w:pPr>
        <w:pStyle w:val="Heading4"/>
        <w:spacing w:before="0" w:line="480" w:lineRule="auto"/>
        <w:rPr>
          <w:rFonts w:ascii="Arial" w:hAnsi="Arial" w:cs="Arial"/>
          <w:b/>
          <w:color w:val="auto"/>
          <w:sz w:val="22"/>
          <w:szCs w:val="22"/>
        </w:rPr>
      </w:pPr>
      <w:r w:rsidRPr="008439E8">
        <w:rPr>
          <w:rFonts w:ascii="Arial" w:hAnsi="Arial" w:cs="Arial"/>
          <w:b/>
          <w:color w:val="auto"/>
          <w:sz w:val="22"/>
          <w:szCs w:val="22"/>
        </w:rPr>
        <w:t>Subjects/Methods</w:t>
      </w:r>
    </w:p>
    <w:p w:rsidR="00263078" w:rsidRPr="008439E8" w:rsidRDefault="00263078" w:rsidP="00EF34D5">
      <w:pPr>
        <w:spacing w:after="0" w:line="480" w:lineRule="auto"/>
        <w:rPr>
          <w:rFonts w:cs="Arial"/>
          <w:szCs w:val="22"/>
        </w:rPr>
      </w:pPr>
      <w:r w:rsidRPr="008439E8">
        <w:rPr>
          <w:rFonts w:cs="Arial"/>
          <w:szCs w:val="22"/>
        </w:rPr>
        <w:t>A cohort of patients prescribed weight loss medication was identified within the Clinical Practice Research Datalink. Rates of myocardial infarction or cerebrovascular event, and all-cause mortality were compared between patients prescribed sibutramine and similar patients prescribed orlistat, using both a multivariable Cox proportional hazard model, and propensity score-adjusted model. Possible effect modification by pre-existing cardiovascular disease and cardiovascular risk factors was assessed.</w:t>
      </w:r>
    </w:p>
    <w:p w:rsidR="00263078" w:rsidRPr="008439E8" w:rsidRDefault="00263078" w:rsidP="00EF34D5">
      <w:pPr>
        <w:pStyle w:val="Heading4"/>
        <w:spacing w:before="0" w:line="480" w:lineRule="auto"/>
        <w:rPr>
          <w:rFonts w:ascii="Arial" w:hAnsi="Arial" w:cs="Arial"/>
          <w:b/>
          <w:color w:val="auto"/>
          <w:sz w:val="22"/>
          <w:szCs w:val="22"/>
        </w:rPr>
      </w:pPr>
      <w:r w:rsidRPr="008439E8">
        <w:rPr>
          <w:rFonts w:ascii="Arial" w:hAnsi="Arial" w:cs="Arial"/>
          <w:b/>
          <w:color w:val="auto"/>
          <w:sz w:val="22"/>
          <w:szCs w:val="22"/>
        </w:rPr>
        <w:t xml:space="preserve">Results </w:t>
      </w:r>
    </w:p>
    <w:p w:rsidR="00263078" w:rsidRPr="008439E8" w:rsidRDefault="00263078" w:rsidP="00EF34D5">
      <w:pPr>
        <w:spacing w:after="0" w:line="480" w:lineRule="auto"/>
        <w:rPr>
          <w:rFonts w:cs="Arial"/>
          <w:szCs w:val="22"/>
        </w:rPr>
      </w:pPr>
      <w:r w:rsidRPr="008439E8">
        <w:rPr>
          <w:rFonts w:cs="Arial"/>
          <w:szCs w:val="22"/>
        </w:rPr>
        <w:t>Patients prescribed sibutramine (N=23</w:t>
      </w:r>
      <w:r w:rsidR="00ED6215" w:rsidRPr="008439E8">
        <w:rPr>
          <w:rFonts w:cs="Arial"/>
          <w:szCs w:val="22"/>
        </w:rPr>
        <w:t xml:space="preserve"> </w:t>
      </w:r>
      <w:r w:rsidRPr="008439E8">
        <w:rPr>
          <w:rFonts w:cs="Arial"/>
          <w:szCs w:val="22"/>
        </w:rPr>
        <w:t>927) appeared to have an elevated rate of myocardial infarction or cerebrovascular events compared to those taking orlistat (N=77</w:t>
      </w:r>
      <w:r w:rsidR="00ED6215" w:rsidRPr="008439E8">
        <w:rPr>
          <w:rFonts w:cs="Arial"/>
          <w:szCs w:val="22"/>
        </w:rPr>
        <w:t xml:space="preserve"> </w:t>
      </w:r>
      <w:r w:rsidRPr="008439E8">
        <w:rPr>
          <w:rFonts w:cs="Arial"/>
          <w:szCs w:val="22"/>
        </w:rPr>
        <w:t>047) (hazard ratio 1.69, 95% confidence interval 1.12-2.56). However subgroup analysis showed the elevated rate was larger in those with pre-existing cardiovascular disease (hazard ratio 4.37 95% confidence interval 2.21-8.64), compared with those with no cardiovascular disease (hazard ratio 1.52, 95% confidence interval 0.92-2.48, p-interaction = 0.0076). All-cause mortality was not increased in those prescribed sibutramine (hazard ratio 0.67, 95% confidence interval 0.34-1.32).</w:t>
      </w:r>
    </w:p>
    <w:p w:rsidR="00263078" w:rsidRPr="008439E8" w:rsidRDefault="00263078" w:rsidP="00EF34D5">
      <w:pPr>
        <w:spacing w:after="0" w:line="480" w:lineRule="auto"/>
        <w:rPr>
          <w:rFonts w:cs="Arial"/>
          <w:szCs w:val="22"/>
        </w:rPr>
      </w:pPr>
    </w:p>
    <w:p w:rsidR="00263078" w:rsidRPr="008439E8" w:rsidRDefault="00263078" w:rsidP="00EF34D5">
      <w:pPr>
        <w:pStyle w:val="Heading4"/>
        <w:spacing w:before="0" w:line="480" w:lineRule="auto"/>
        <w:rPr>
          <w:rFonts w:ascii="Arial" w:hAnsi="Arial" w:cs="Arial"/>
          <w:b/>
          <w:color w:val="auto"/>
          <w:sz w:val="22"/>
          <w:szCs w:val="22"/>
        </w:rPr>
      </w:pPr>
      <w:r w:rsidRPr="008439E8">
        <w:rPr>
          <w:rFonts w:ascii="Arial" w:hAnsi="Arial" w:cs="Arial"/>
          <w:b/>
          <w:color w:val="auto"/>
          <w:sz w:val="22"/>
          <w:szCs w:val="22"/>
        </w:rPr>
        <w:lastRenderedPageBreak/>
        <w:t>Conclusions</w:t>
      </w:r>
    </w:p>
    <w:p w:rsidR="00263078" w:rsidRPr="008439E8" w:rsidRDefault="00263078" w:rsidP="00EF34D5">
      <w:pPr>
        <w:spacing w:after="0" w:line="480" w:lineRule="auto"/>
        <w:rPr>
          <w:rFonts w:cs="Arial"/>
          <w:szCs w:val="22"/>
        </w:rPr>
      </w:pPr>
      <w:r w:rsidRPr="008439E8">
        <w:rPr>
          <w:rFonts w:cs="Arial"/>
          <w:szCs w:val="22"/>
        </w:rPr>
        <w:t xml:space="preserve">Sibutramine was associated with increased rates of acute cardiovascular events in people with pre-existing cardiovascular disease, but there was a low absolute risk in those without. Sibutramine’s marketing authorisation may have therefore been inappropriately withdrawn for people without cardiovascular disease. </w:t>
      </w:r>
    </w:p>
    <w:p w:rsidR="00263078" w:rsidRPr="008439E8" w:rsidRDefault="00263078" w:rsidP="00EF34D5">
      <w:pPr>
        <w:spacing w:after="0" w:line="480" w:lineRule="auto"/>
        <w:rPr>
          <w:rFonts w:cs="Arial"/>
          <w:b/>
          <w:szCs w:val="22"/>
        </w:rPr>
      </w:pPr>
    </w:p>
    <w:p w:rsidR="00263078" w:rsidRPr="008439E8" w:rsidRDefault="00263078" w:rsidP="00EF34D5">
      <w:pPr>
        <w:spacing w:after="0" w:line="480" w:lineRule="auto"/>
        <w:rPr>
          <w:rFonts w:cs="Arial"/>
          <w:b/>
          <w:szCs w:val="22"/>
        </w:rPr>
      </w:pPr>
    </w:p>
    <w:p w:rsidR="00263078" w:rsidRPr="008439E8" w:rsidRDefault="00263078" w:rsidP="00EF34D5">
      <w:pPr>
        <w:pStyle w:val="Heading1"/>
        <w:spacing w:before="0" w:after="0" w:line="480" w:lineRule="auto"/>
        <w:rPr>
          <w:rFonts w:ascii="Arial" w:hAnsi="Arial" w:cs="Arial"/>
          <w:szCs w:val="36"/>
        </w:rPr>
      </w:pPr>
      <w:bookmarkStart w:id="3" w:name="_Toc395780025"/>
      <w:r w:rsidRPr="008439E8">
        <w:rPr>
          <w:rFonts w:ascii="Arial" w:hAnsi="Arial" w:cs="Arial"/>
          <w:b/>
          <w:szCs w:val="36"/>
        </w:rPr>
        <w:t>Introduction</w:t>
      </w:r>
      <w:bookmarkEnd w:id="3"/>
    </w:p>
    <w:p w:rsidR="00263078" w:rsidRPr="008439E8" w:rsidRDefault="00263078" w:rsidP="00EF34D5">
      <w:pPr>
        <w:spacing w:after="0" w:line="480" w:lineRule="auto"/>
        <w:rPr>
          <w:rFonts w:cs="Arial"/>
          <w:szCs w:val="22"/>
        </w:rPr>
      </w:pPr>
      <w:r w:rsidRPr="008439E8">
        <w:rPr>
          <w:rFonts w:cs="Arial"/>
          <w:szCs w:val="22"/>
        </w:rPr>
        <w:t>Prior to 2010 sibutramine and orlistat were the two European Union approved pharmaceutical options for weight loss treatment for individuals with a body mass index (BMI) over 27</w:t>
      </w:r>
      <w:r w:rsidR="00783029" w:rsidRPr="008439E8">
        <w:rPr>
          <w:rFonts w:cs="Arial"/>
          <w:szCs w:val="22"/>
        </w:rPr>
        <w:t xml:space="preserve"> kg </w:t>
      </w:r>
      <w:r w:rsidRPr="008439E8">
        <w:rPr>
          <w:rFonts w:cs="Arial"/>
          <w:szCs w:val="22"/>
        </w:rPr>
        <w:t>m</w:t>
      </w:r>
      <w:r w:rsidR="00783029" w:rsidRPr="008439E8">
        <w:rPr>
          <w:rFonts w:cs="Arial"/>
          <w:szCs w:val="22"/>
        </w:rPr>
        <w:softHyphen/>
      </w:r>
      <w:r w:rsidR="00783029" w:rsidRPr="008439E8">
        <w:rPr>
          <w:rFonts w:cs="Arial"/>
          <w:szCs w:val="22"/>
          <w:vertAlign w:val="superscript"/>
        </w:rPr>
        <w:t>-</w:t>
      </w:r>
      <w:r w:rsidRPr="008439E8">
        <w:rPr>
          <w:rFonts w:cs="Arial"/>
          <w:szCs w:val="22"/>
          <w:vertAlign w:val="superscript"/>
        </w:rPr>
        <w:t>2</w:t>
      </w:r>
      <w:r w:rsidRPr="008439E8">
        <w:rPr>
          <w:rFonts w:cs="Arial"/>
          <w:szCs w:val="22"/>
        </w:rPr>
        <w:t>.</w:t>
      </w:r>
      <w:r w:rsidRPr="008439E8">
        <w:rPr>
          <w:rFonts w:cs="Arial"/>
          <w:noProof/>
          <w:szCs w:val="22"/>
          <w:vertAlign w:val="superscript"/>
        </w:rPr>
        <w:t>1</w:t>
      </w:r>
      <w:r w:rsidRPr="008439E8">
        <w:rPr>
          <w:rFonts w:cs="Arial"/>
          <w:szCs w:val="22"/>
        </w:rPr>
        <w:t xml:space="preserve"> In January 2010 sibutramine was suspended following a review by the European Medicines Agency, who found an “increased risk of non-fatal myocardial infarction and stroke, which outweighed the possible benefits of medication through weight-loss”.</w:t>
      </w:r>
      <w:r w:rsidRPr="008439E8">
        <w:rPr>
          <w:rFonts w:cs="Arial"/>
          <w:noProof/>
          <w:szCs w:val="22"/>
          <w:vertAlign w:val="superscript"/>
        </w:rPr>
        <w:t>2</w:t>
      </w:r>
      <w:r w:rsidRPr="008439E8">
        <w:rPr>
          <w:rFonts w:cs="Arial"/>
          <w:szCs w:val="22"/>
        </w:rPr>
        <w:t xml:space="preserve"> The United States Food and Drugs Administration followed suit later that year. Although concerns about sibutramine’s safety had been raised before, the risk was clarified by the Sibutramine Cardiovascular Outcomes Trial (SCOUT),</w:t>
      </w:r>
      <w:r w:rsidRPr="008439E8">
        <w:rPr>
          <w:rFonts w:cs="Arial"/>
          <w:noProof/>
          <w:szCs w:val="22"/>
          <w:vertAlign w:val="superscript"/>
        </w:rPr>
        <w:t>3</w:t>
      </w:r>
      <w:r w:rsidRPr="008439E8">
        <w:rPr>
          <w:rFonts w:cs="Arial"/>
          <w:szCs w:val="22"/>
        </w:rPr>
        <w:t xml:space="preserve"> a randomised, placebo-controlled trial of over 10,000 patients with increased risk of cardiovascular events (i.e. individuals with pre-existing cardiovascular disease, or with type 2 diabetes mellitus (T2D) and cardiovascular risk factors). The aim of SCOUT was to clarify the cardiovascular and cerebrovascular side effect profile of sibutramine.  The primary outcome was a composite of non­fatal myocardial infarction (MI), non­fatal cerebrovascular event (CVE), resuscitation after cardiac arrest, and cardiovascular death.</w:t>
      </w:r>
      <w:r w:rsidRPr="008439E8">
        <w:rPr>
          <w:rFonts w:cs="Arial"/>
          <w:noProof/>
          <w:szCs w:val="22"/>
          <w:vertAlign w:val="superscript"/>
        </w:rPr>
        <w:t>3</w:t>
      </w:r>
      <w:r w:rsidRPr="008439E8">
        <w:rPr>
          <w:rFonts w:cs="Arial"/>
          <w:szCs w:val="22"/>
        </w:rPr>
        <w:t xml:space="preserve">  The</w:t>
      </w:r>
      <w:r w:rsidRPr="008439E8">
        <w:rPr>
          <w:rFonts w:cs="Arial"/>
          <w:spacing w:val="-5"/>
          <w:szCs w:val="22"/>
        </w:rPr>
        <w:t xml:space="preserve"> </w:t>
      </w:r>
      <w:r w:rsidRPr="008439E8">
        <w:rPr>
          <w:rFonts w:cs="Arial"/>
          <w:szCs w:val="22"/>
        </w:rPr>
        <w:t>rate</w:t>
      </w:r>
      <w:r w:rsidRPr="008439E8">
        <w:rPr>
          <w:rFonts w:cs="Arial"/>
          <w:spacing w:val="-5"/>
          <w:szCs w:val="22"/>
        </w:rPr>
        <w:t xml:space="preserve"> </w:t>
      </w:r>
      <w:r w:rsidRPr="008439E8">
        <w:rPr>
          <w:rFonts w:cs="Arial"/>
          <w:szCs w:val="22"/>
        </w:rPr>
        <w:t>was</w:t>
      </w:r>
      <w:r w:rsidRPr="008439E8">
        <w:rPr>
          <w:rFonts w:cs="Arial"/>
          <w:spacing w:val="-5"/>
          <w:szCs w:val="22"/>
        </w:rPr>
        <w:t xml:space="preserve"> </w:t>
      </w:r>
      <w:r w:rsidRPr="008439E8">
        <w:rPr>
          <w:rFonts w:cs="Arial"/>
          <w:szCs w:val="22"/>
        </w:rPr>
        <w:t>increased</w:t>
      </w:r>
      <w:r w:rsidRPr="008439E8">
        <w:rPr>
          <w:rFonts w:cs="Arial"/>
          <w:spacing w:val="-5"/>
          <w:szCs w:val="22"/>
        </w:rPr>
        <w:t xml:space="preserve"> </w:t>
      </w:r>
      <w:r w:rsidRPr="008439E8">
        <w:rPr>
          <w:rFonts w:cs="Arial"/>
          <w:szCs w:val="22"/>
        </w:rPr>
        <w:t>by</w:t>
      </w:r>
      <w:r w:rsidRPr="008439E8">
        <w:rPr>
          <w:rFonts w:cs="Arial"/>
          <w:spacing w:val="-5"/>
          <w:szCs w:val="22"/>
        </w:rPr>
        <w:t xml:space="preserve"> </w:t>
      </w:r>
      <w:r w:rsidRPr="008439E8">
        <w:rPr>
          <w:rFonts w:cs="Arial"/>
          <w:szCs w:val="22"/>
        </w:rPr>
        <w:t>16%</w:t>
      </w:r>
      <w:r w:rsidRPr="008439E8">
        <w:rPr>
          <w:rFonts w:cs="Arial"/>
          <w:spacing w:val="-5"/>
          <w:szCs w:val="22"/>
        </w:rPr>
        <w:t xml:space="preserve"> </w:t>
      </w:r>
      <w:r w:rsidRPr="008439E8">
        <w:rPr>
          <w:rFonts w:cs="Arial"/>
          <w:szCs w:val="22"/>
        </w:rPr>
        <w:t>in</w:t>
      </w:r>
      <w:r w:rsidRPr="008439E8">
        <w:rPr>
          <w:rFonts w:cs="Arial"/>
          <w:spacing w:val="-5"/>
          <w:szCs w:val="22"/>
        </w:rPr>
        <w:t xml:space="preserve"> </w:t>
      </w:r>
      <w:r w:rsidRPr="008439E8">
        <w:rPr>
          <w:rFonts w:cs="Arial"/>
          <w:szCs w:val="22"/>
        </w:rPr>
        <w:t>the</w:t>
      </w:r>
      <w:r w:rsidRPr="008439E8">
        <w:rPr>
          <w:rFonts w:cs="Arial"/>
          <w:spacing w:val="-5"/>
          <w:szCs w:val="22"/>
        </w:rPr>
        <w:t xml:space="preserve"> </w:t>
      </w:r>
      <w:r w:rsidRPr="008439E8">
        <w:rPr>
          <w:rFonts w:cs="Arial"/>
          <w:szCs w:val="22"/>
        </w:rPr>
        <w:t>sibutramine</w:t>
      </w:r>
      <w:r w:rsidRPr="008439E8">
        <w:rPr>
          <w:rFonts w:cs="Arial"/>
          <w:spacing w:val="-5"/>
          <w:szCs w:val="22"/>
        </w:rPr>
        <w:t xml:space="preserve"> </w:t>
      </w:r>
      <w:r w:rsidRPr="008439E8">
        <w:rPr>
          <w:rFonts w:cs="Arial"/>
          <w:szCs w:val="22"/>
        </w:rPr>
        <w:t>group</w:t>
      </w:r>
      <w:r w:rsidRPr="008439E8">
        <w:rPr>
          <w:rFonts w:cs="Arial"/>
          <w:spacing w:val="-5"/>
          <w:szCs w:val="22"/>
        </w:rPr>
        <w:t xml:space="preserve"> </w:t>
      </w:r>
      <w:r w:rsidRPr="008439E8">
        <w:rPr>
          <w:rFonts w:cs="Arial"/>
          <w:szCs w:val="22"/>
        </w:rPr>
        <w:t>compared</w:t>
      </w:r>
      <w:r w:rsidRPr="008439E8">
        <w:rPr>
          <w:rFonts w:cs="Arial"/>
          <w:spacing w:val="-5"/>
          <w:szCs w:val="22"/>
        </w:rPr>
        <w:t xml:space="preserve"> </w:t>
      </w:r>
      <w:r w:rsidRPr="008439E8">
        <w:rPr>
          <w:rFonts w:cs="Arial"/>
          <w:szCs w:val="22"/>
        </w:rPr>
        <w:t>with</w:t>
      </w:r>
      <w:r w:rsidRPr="008439E8">
        <w:rPr>
          <w:rFonts w:cs="Arial"/>
          <w:spacing w:val="-5"/>
          <w:szCs w:val="22"/>
        </w:rPr>
        <w:t xml:space="preserve"> </w:t>
      </w:r>
      <w:r w:rsidRPr="008439E8">
        <w:rPr>
          <w:rFonts w:cs="Arial"/>
          <w:szCs w:val="22"/>
        </w:rPr>
        <w:t xml:space="preserve">placebo </w:t>
      </w:r>
      <w:r w:rsidRPr="008439E8">
        <w:rPr>
          <w:rFonts w:cs="Arial"/>
          <w:spacing w:val="-2"/>
          <w:szCs w:val="22"/>
        </w:rPr>
        <w:t>(hazar</w:t>
      </w:r>
      <w:r w:rsidRPr="008439E8">
        <w:rPr>
          <w:rFonts w:cs="Arial"/>
          <w:szCs w:val="22"/>
        </w:rPr>
        <w:t xml:space="preserve">d </w:t>
      </w:r>
      <w:r w:rsidRPr="008439E8">
        <w:rPr>
          <w:rFonts w:cs="Arial"/>
          <w:spacing w:val="-2"/>
          <w:szCs w:val="22"/>
        </w:rPr>
        <w:t>ratio</w:t>
      </w:r>
      <w:r w:rsidRPr="008439E8">
        <w:rPr>
          <w:rFonts w:cs="Arial"/>
          <w:szCs w:val="22"/>
        </w:rPr>
        <w:t xml:space="preserve"> (HR) </w:t>
      </w:r>
      <w:r w:rsidRPr="008439E8">
        <w:rPr>
          <w:rFonts w:cs="Arial"/>
          <w:spacing w:val="-2"/>
          <w:szCs w:val="22"/>
        </w:rPr>
        <w:t>1.16</w:t>
      </w:r>
      <w:r w:rsidRPr="008439E8">
        <w:rPr>
          <w:rFonts w:cs="Arial"/>
          <w:szCs w:val="22"/>
        </w:rPr>
        <w:t xml:space="preserve">, </w:t>
      </w:r>
      <w:r w:rsidRPr="008439E8">
        <w:rPr>
          <w:rFonts w:cs="Arial"/>
          <w:spacing w:val="-2"/>
          <w:szCs w:val="22"/>
        </w:rPr>
        <w:t>95</w:t>
      </w:r>
      <w:r w:rsidRPr="008439E8">
        <w:rPr>
          <w:rFonts w:cs="Arial"/>
          <w:szCs w:val="22"/>
        </w:rPr>
        <w:t xml:space="preserve">% </w:t>
      </w:r>
      <w:r w:rsidRPr="008439E8">
        <w:rPr>
          <w:rFonts w:cs="Arial"/>
          <w:spacing w:val="-2"/>
          <w:szCs w:val="22"/>
        </w:rPr>
        <w:t>confidenc</w:t>
      </w:r>
      <w:r w:rsidRPr="008439E8">
        <w:rPr>
          <w:rFonts w:cs="Arial"/>
          <w:szCs w:val="22"/>
        </w:rPr>
        <w:t xml:space="preserve">e </w:t>
      </w:r>
      <w:r w:rsidRPr="008439E8">
        <w:rPr>
          <w:rFonts w:cs="Arial"/>
          <w:spacing w:val="-2"/>
          <w:szCs w:val="22"/>
        </w:rPr>
        <w:t>interva</w:t>
      </w:r>
      <w:r w:rsidRPr="008439E8">
        <w:rPr>
          <w:rFonts w:cs="Arial"/>
          <w:szCs w:val="22"/>
        </w:rPr>
        <w:t xml:space="preserve">l </w:t>
      </w:r>
      <w:r w:rsidRPr="008439E8">
        <w:rPr>
          <w:rFonts w:cs="Arial"/>
          <w:spacing w:val="-2"/>
          <w:szCs w:val="22"/>
        </w:rPr>
        <w:t>(CI)</w:t>
      </w:r>
      <w:r w:rsidRPr="008439E8">
        <w:rPr>
          <w:rFonts w:cs="Arial"/>
          <w:szCs w:val="22"/>
        </w:rPr>
        <w:t xml:space="preserve"> </w:t>
      </w:r>
      <w:r w:rsidRPr="008439E8">
        <w:rPr>
          <w:rFonts w:cs="Arial"/>
          <w:spacing w:val="-2"/>
          <w:szCs w:val="22"/>
        </w:rPr>
        <w:t>1.0</w:t>
      </w:r>
      <w:r w:rsidRPr="008439E8">
        <w:rPr>
          <w:rFonts w:cs="Arial"/>
          <w:szCs w:val="22"/>
        </w:rPr>
        <w:t>3-</w:t>
      </w:r>
      <w:r w:rsidRPr="008439E8">
        <w:rPr>
          <w:rFonts w:cs="Arial"/>
          <w:spacing w:val="-2"/>
          <w:szCs w:val="22"/>
        </w:rPr>
        <w:t>1.31</w:t>
      </w:r>
      <w:r w:rsidRPr="008439E8">
        <w:rPr>
          <w:rFonts w:cs="Arial"/>
          <w:szCs w:val="22"/>
        </w:rPr>
        <w:t xml:space="preserve">, </w:t>
      </w:r>
      <w:r w:rsidRPr="008439E8">
        <w:rPr>
          <w:rFonts w:cs="Arial"/>
          <w:spacing w:val="-2"/>
          <w:szCs w:val="22"/>
        </w:rPr>
        <w:t>P=0.02)</w:t>
      </w:r>
      <w:r w:rsidRPr="008439E8">
        <w:rPr>
          <w:rFonts w:cs="Arial"/>
          <w:szCs w:val="22"/>
        </w:rPr>
        <w:t xml:space="preserve">, </w:t>
      </w:r>
      <w:r w:rsidRPr="008439E8">
        <w:rPr>
          <w:rFonts w:cs="Arial"/>
          <w:spacing w:val="-2"/>
          <w:szCs w:val="22"/>
        </w:rPr>
        <w:t>wit</w:t>
      </w:r>
      <w:r w:rsidRPr="008439E8">
        <w:rPr>
          <w:rFonts w:cs="Arial"/>
          <w:szCs w:val="22"/>
        </w:rPr>
        <w:t xml:space="preserve">h </w:t>
      </w:r>
      <w:r w:rsidRPr="008439E8">
        <w:rPr>
          <w:rFonts w:cs="Arial"/>
          <w:spacing w:val="-2"/>
          <w:szCs w:val="22"/>
        </w:rPr>
        <w:t>overal</w:t>
      </w:r>
      <w:r w:rsidRPr="008439E8">
        <w:rPr>
          <w:rFonts w:cs="Arial"/>
          <w:szCs w:val="22"/>
        </w:rPr>
        <w:t xml:space="preserve">l </w:t>
      </w:r>
      <w:r w:rsidRPr="008439E8">
        <w:rPr>
          <w:rFonts w:cs="Arial"/>
          <w:spacing w:val="-2"/>
          <w:szCs w:val="22"/>
        </w:rPr>
        <w:t>incidence</w:t>
      </w:r>
      <w:r w:rsidRPr="008439E8">
        <w:rPr>
          <w:rFonts w:cs="Arial"/>
          <w:szCs w:val="22"/>
        </w:rPr>
        <w:t xml:space="preserve">s </w:t>
      </w:r>
      <w:r w:rsidRPr="008439E8">
        <w:rPr>
          <w:rFonts w:cs="Arial"/>
          <w:spacing w:val="-2"/>
          <w:szCs w:val="22"/>
        </w:rPr>
        <w:t>o</w:t>
      </w:r>
      <w:r w:rsidRPr="008439E8">
        <w:rPr>
          <w:rFonts w:cs="Arial"/>
          <w:szCs w:val="22"/>
        </w:rPr>
        <w:t xml:space="preserve">f </w:t>
      </w:r>
      <w:r w:rsidRPr="008439E8">
        <w:rPr>
          <w:rFonts w:cs="Arial"/>
          <w:spacing w:val="-2"/>
          <w:szCs w:val="22"/>
        </w:rPr>
        <w:t>11.4</w:t>
      </w:r>
      <w:r w:rsidRPr="008439E8">
        <w:rPr>
          <w:rFonts w:cs="Arial"/>
          <w:szCs w:val="22"/>
        </w:rPr>
        <w:t xml:space="preserve">% </w:t>
      </w:r>
      <w:r w:rsidRPr="008439E8">
        <w:rPr>
          <w:rFonts w:cs="Arial"/>
          <w:spacing w:val="-2"/>
          <w:szCs w:val="22"/>
        </w:rPr>
        <w:t>and</w:t>
      </w:r>
      <w:r w:rsidRPr="008439E8">
        <w:rPr>
          <w:rFonts w:cs="Arial"/>
          <w:szCs w:val="22"/>
        </w:rPr>
        <w:t xml:space="preserve"> 10.0%,</w:t>
      </w:r>
      <w:r w:rsidRPr="008439E8">
        <w:rPr>
          <w:rFonts w:cs="Arial"/>
          <w:spacing w:val="-5"/>
          <w:szCs w:val="22"/>
        </w:rPr>
        <w:t xml:space="preserve"> </w:t>
      </w:r>
      <w:r w:rsidRPr="008439E8">
        <w:rPr>
          <w:rFonts w:cs="Arial"/>
          <w:szCs w:val="22"/>
        </w:rPr>
        <w:t>in</w:t>
      </w:r>
      <w:r w:rsidRPr="008439E8">
        <w:rPr>
          <w:rFonts w:cs="Arial"/>
          <w:spacing w:val="-5"/>
          <w:szCs w:val="22"/>
        </w:rPr>
        <w:t xml:space="preserve"> </w:t>
      </w:r>
      <w:r w:rsidRPr="008439E8">
        <w:rPr>
          <w:rFonts w:cs="Arial"/>
          <w:szCs w:val="22"/>
        </w:rPr>
        <w:t>the</w:t>
      </w:r>
      <w:r w:rsidRPr="008439E8">
        <w:rPr>
          <w:rFonts w:cs="Arial"/>
          <w:spacing w:val="-5"/>
          <w:szCs w:val="22"/>
        </w:rPr>
        <w:t xml:space="preserve"> </w:t>
      </w:r>
      <w:r w:rsidRPr="008439E8">
        <w:rPr>
          <w:rFonts w:cs="Arial"/>
          <w:szCs w:val="22"/>
        </w:rPr>
        <w:t>two</w:t>
      </w:r>
      <w:r w:rsidRPr="008439E8">
        <w:rPr>
          <w:rFonts w:cs="Arial"/>
          <w:spacing w:val="-5"/>
          <w:szCs w:val="22"/>
        </w:rPr>
        <w:t xml:space="preserve"> </w:t>
      </w:r>
      <w:r w:rsidRPr="008439E8">
        <w:rPr>
          <w:rFonts w:cs="Arial"/>
          <w:szCs w:val="22"/>
        </w:rPr>
        <w:t>groups,</w:t>
      </w:r>
      <w:r w:rsidRPr="008439E8">
        <w:rPr>
          <w:rFonts w:cs="Arial"/>
          <w:spacing w:val="-5"/>
          <w:szCs w:val="22"/>
        </w:rPr>
        <w:t xml:space="preserve"> </w:t>
      </w:r>
      <w:r w:rsidRPr="008439E8">
        <w:rPr>
          <w:rFonts w:cs="Arial"/>
          <w:szCs w:val="22"/>
        </w:rPr>
        <w:t>respectively.</w:t>
      </w:r>
      <w:r w:rsidRPr="008439E8">
        <w:rPr>
          <w:rFonts w:cs="Arial"/>
          <w:spacing w:val="-5"/>
          <w:szCs w:val="22"/>
        </w:rPr>
        <w:t xml:space="preserve"> </w:t>
      </w:r>
      <w:r w:rsidRPr="008439E8">
        <w:rPr>
          <w:rFonts w:cs="Arial"/>
          <w:szCs w:val="22"/>
        </w:rPr>
        <w:t>This</w:t>
      </w:r>
      <w:r w:rsidRPr="008439E8">
        <w:rPr>
          <w:rFonts w:cs="Arial"/>
          <w:spacing w:val="-5"/>
          <w:szCs w:val="22"/>
        </w:rPr>
        <w:t xml:space="preserve"> </w:t>
      </w:r>
      <w:r w:rsidRPr="008439E8">
        <w:rPr>
          <w:rFonts w:cs="Arial"/>
          <w:szCs w:val="22"/>
        </w:rPr>
        <w:t>increased rate was</w:t>
      </w:r>
      <w:r w:rsidRPr="008439E8">
        <w:rPr>
          <w:rFonts w:cs="Arial"/>
          <w:spacing w:val="-5"/>
          <w:szCs w:val="22"/>
        </w:rPr>
        <w:t xml:space="preserve"> </w:t>
      </w:r>
      <w:r w:rsidRPr="008439E8">
        <w:rPr>
          <w:rFonts w:cs="Arial"/>
          <w:szCs w:val="22"/>
        </w:rPr>
        <w:t>made</w:t>
      </w:r>
      <w:r w:rsidRPr="008439E8">
        <w:rPr>
          <w:rFonts w:cs="Arial"/>
          <w:spacing w:val="-5"/>
          <w:szCs w:val="22"/>
        </w:rPr>
        <w:t xml:space="preserve"> </w:t>
      </w:r>
      <w:r w:rsidRPr="008439E8">
        <w:rPr>
          <w:rFonts w:cs="Arial"/>
          <w:szCs w:val="22"/>
        </w:rPr>
        <w:t>up</w:t>
      </w:r>
      <w:r w:rsidRPr="008439E8">
        <w:rPr>
          <w:rFonts w:cs="Arial"/>
          <w:spacing w:val="-5"/>
          <w:szCs w:val="22"/>
        </w:rPr>
        <w:t xml:space="preserve"> </w:t>
      </w:r>
      <w:r w:rsidRPr="008439E8">
        <w:rPr>
          <w:rFonts w:cs="Arial"/>
          <w:szCs w:val="22"/>
        </w:rPr>
        <w:t>of</w:t>
      </w:r>
      <w:r w:rsidRPr="008439E8">
        <w:rPr>
          <w:rFonts w:cs="Arial"/>
          <w:spacing w:val="-5"/>
          <w:szCs w:val="22"/>
        </w:rPr>
        <w:t xml:space="preserve"> </w:t>
      </w:r>
      <w:r w:rsidRPr="008439E8">
        <w:rPr>
          <w:rFonts w:cs="Arial"/>
          <w:szCs w:val="22"/>
        </w:rPr>
        <w:t>non­fatal</w:t>
      </w:r>
      <w:r w:rsidRPr="008439E8">
        <w:rPr>
          <w:rFonts w:cs="Arial"/>
          <w:spacing w:val="-4"/>
          <w:szCs w:val="22"/>
        </w:rPr>
        <w:t xml:space="preserve"> </w:t>
      </w:r>
      <w:r w:rsidRPr="008439E8">
        <w:rPr>
          <w:rFonts w:cs="Arial"/>
          <w:spacing w:val="-2"/>
          <w:szCs w:val="22"/>
        </w:rPr>
        <w:t>events</w:t>
      </w:r>
      <w:r w:rsidRPr="008439E8">
        <w:rPr>
          <w:rFonts w:cs="Arial"/>
          <w:szCs w:val="22"/>
        </w:rPr>
        <w:t>,</w:t>
      </w:r>
      <w:r w:rsidRPr="008439E8">
        <w:rPr>
          <w:rFonts w:cs="Arial"/>
          <w:spacing w:val="-4"/>
          <w:szCs w:val="22"/>
        </w:rPr>
        <w:t xml:space="preserve"> </w:t>
      </w:r>
      <w:r w:rsidRPr="008439E8">
        <w:rPr>
          <w:rFonts w:cs="Arial"/>
          <w:spacing w:val="-2"/>
          <w:szCs w:val="22"/>
        </w:rPr>
        <w:t>rathe</w:t>
      </w:r>
      <w:r w:rsidRPr="008439E8">
        <w:rPr>
          <w:rFonts w:cs="Arial"/>
          <w:szCs w:val="22"/>
        </w:rPr>
        <w:t>r</w:t>
      </w:r>
      <w:r w:rsidRPr="008439E8">
        <w:rPr>
          <w:rFonts w:cs="Arial"/>
          <w:spacing w:val="-4"/>
          <w:szCs w:val="22"/>
        </w:rPr>
        <w:t xml:space="preserve"> </w:t>
      </w:r>
      <w:r w:rsidRPr="008439E8">
        <w:rPr>
          <w:rFonts w:cs="Arial"/>
          <w:spacing w:val="-2"/>
          <w:szCs w:val="22"/>
        </w:rPr>
        <w:t>tha</w:t>
      </w:r>
      <w:r w:rsidRPr="008439E8">
        <w:rPr>
          <w:rFonts w:cs="Arial"/>
          <w:szCs w:val="22"/>
        </w:rPr>
        <w:t>n</w:t>
      </w:r>
      <w:r w:rsidRPr="008439E8">
        <w:rPr>
          <w:rFonts w:cs="Arial"/>
          <w:spacing w:val="-4"/>
          <w:szCs w:val="22"/>
        </w:rPr>
        <w:t xml:space="preserve"> </w:t>
      </w:r>
      <w:r w:rsidRPr="008439E8">
        <w:rPr>
          <w:rFonts w:cs="Arial"/>
          <w:spacing w:val="-2"/>
          <w:szCs w:val="22"/>
        </w:rPr>
        <w:t>cardiovascula</w:t>
      </w:r>
      <w:r w:rsidRPr="008439E8">
        <w:rPr>
          <w:rFonts w:cs="Arial"/>
          <w:szCs w:val="22"/>
        </w:rPr>
        <w:t>r</w:t>
      </w:r>
      <w:r w:rsidRPr="008439E8">
        <w:rPr>
          <w:rFonts w:cs="Arial"/>
          <w:spacing w:val="-4"/>
          <w:szCs w:val="22"/>
        </w:rPr>
        <w:t xml:space="preserve"> </w:t>
      </w:r>
      <w:r w:rsidRPr="008439E8">
        <w:rPr>
          <w:rFonts w:cs="Arial"/>
          <w:spacing w:val="-2"/>
          <w:szCs w:val="22"/>
        </w:rPr>
        <w:t>deat</w:t>
      </w:r>
      <w:r w:rsidRPr="008439E8">
        <w:rPr>
          <w:rFonts w:cs="Arial"/>
          <w:szCs w:val="22"/>
        </w:rPr>
        <w:t>hs.</w:t>
      </w:r>
      <w:r w:rsidRPr="008439E8">
        <w:rPr>
          <w:rFonts w:cs="Arial"/>
          <w:noProof/>
          <w:spacing w:val="-2"/>
          <w:szCs w:val="22"/>
          <w:vertAlign w:val="superscript"/>
        </w:rPr>
        <w:t>3</w:t>
      </w:r>
    </w:p>
    <w:p w:rsidR="00263078" w:rsidRPr="008439E8" w:rsidRDefault="00263078" w:rsidP="00EF34D5">
      <w:pPr>
        <w:spacing w:after="0" w:line="480" w:lineRule="auto"/>
        <w:rPr>
          <w:rFonts w:cs="Arial"/>
          <w:szCs w:val="22"/>
        </w:rPr>
      </w:pPr>
      <w:r w:rsidRPr="008439E8">
        <w:rPr>
          <w:rFonts w:cs="Arial"/>
          <w:szCs w:val="22"/>
        </w:rPr>
        <w:lastRenderedPageBreak/>
        <w:t xml:space="preserve">A number of limitations of this trial, especially related to its generalizability, have been identified: </w:t>
      </w:r>
      <w:r w:rsidRPr="008439E8">
        <w:rPr>
          <w:rFonts w:cs="Arial"/>
          <w:spacing w:val="-2"/>
          <w:szCs w:val="22"/>
        </w:rPr>
        <w:t xml:space="preserve">The </w:t>
      </w:r>
      <w:r w:rsidRPr="008439E8">
        <w:rPr>
          <w:rFonts w:cs="Arial"/>
          <w:szCs w:val="22"/>
        </w:rPr>
        <w:t>increased</w:t>
      </w:r>
      <w:r w:rsidRPr="008439E8">
        <w:rPr>
          <w:rFonts w:cs="Arial"/>
          <w:spacing w:val="-5"/>
          <w:szCs w:val="22"/>
        </w:rPr>
        <w:t xml:space="preserve"> </w:t>
      </w:r>
      <w:r w:rsidRPr="008439E8">
        <w:rPr>
          <w:rFonts w:cs="Arial"/>
          <w:szCs w:val="22"/>
        </w:rPr>
        <w:t>risk</w:t>
      </w:r>
      <w:r w:rsidRPr="008439E8">
        <w:rPr>
          <w:rFonts w:cs="Arial"/>
          <w:spacing w:val="-5"/>
          <w:szCs w:val="22"/>
        </w:rPr>
        <w:t xml:space="preserve"> </w:t>
      </w:r>
      <w:r w:rsidRPr="008439E8">
        <w:rPr>
          <w:rFonts w:cs="Arial"/>
          <w:szCs w:val="22"/>
        </w:rPr>
        <w:t>was</w:t>
      </w:r>
      <w:r w:rsidRPr="008439E8">
        <w:rPr>
          <w:rFonts w:cs="Arial"/>
          <w:spacing w:val="-5"/>
          <w:szCs w:val="22"/>
        </w:rPr>
        <w:t xml:space="preserve"> </w:t>
      </w:r>
      <w:r w:rsidRPr="008439E8">
        <w:rPr>
          <w:rFonts w:cs="Arial"/>
          <w:szCs w:val="22"/>
        </w:rPr>
        <w:t>only</w:t>
      </w:r>
      <w:r w:rsidRPr="008439E8">
        <w:rPr>
          <w:rFonts w:cs="Arial"/>
          <w:spacing w:val="-5"/>
          <w:szCs w:val="22"/>
        </w:rPr>
        <w:t xml:space="preserve"> </w:t>
      </w:r>
      <w:r w:rsidRPr="008439E8">
        <w:rPr>
          <w:rFonts w:cs="Arial"/>
          <w:szCs w:val="22"/>
        </w:rPr>
        <w:t>shown</w:t>
      </w:r>
      <w:r w:rsidRPr="008439E8">
        <w:rPr>
          <w:rFonts w:cs="Arial"/>
          <w:spacing w:val="-5"/>
          <w:szCs w:val="22"/>
        </w:rPr>
        <w:t xml:space="preserve"> </w:t>
      </w:r>
      <w:r w:rsidRPr="008439E8">
        <w:rPr>
          <w:rFonts w:cs="Arial"/>
          <w:szCs w:val="22"/>
        </w:rPr>
        <w:t>in</w:t>
      </w:r>
      <w:r w:rsidRPr="008439E8">
        <w:rPr>
          <w:rFonts w:cs="Arial"/>
          <w:spacing w:val="-5"/>
          <w:szCs w:val="22"/>
        </w:rPr>
        <w:t xml:space="preserve"> </w:t>
      </w:r>
      <w:r w:rsidRPr="008439E8">
        <w:rPr>
          <w:rFonts w:cs="Arial"/>
          <w:szCs w:val="22"/>
        </w:rPr>
        <w:t>the</w:t>
      </w:r>
      <w:r w:rsidRPr="008439E8">
        <w:rPr>
          <w:rFonts w:cs="Arial"/>
          <w:spacing w:val="-5"/>
          <w:szCs w:val="22"/>
        </w:rPr>
        <w:t xml:space="preserve"> </w:t>
      </w:r>
      <w:r w:rsidRPr="008439E8">
        <w:rPr>
          <w:rFonts w:cs="Arial"/>
          <w:szCs w:val="22"/>
        </w:rPr>
        <w:t>groups</w:t>
      </w:r>
      <w:r w:rsidRPr="008439E8">
        <w:rPr>
          <w:rFonts w:cs="Arial"/>
          <w:spacing w:val="-5"/>
          <w:szCs w:val="22"/>
        </w:rPr>
        <w:t xml:space="preserve"> </w:t>
      </w:r>
      <w:r w:rsidRPr="008439E8">
        <w:rPr>
          <w:rFonts w:cs="Arial"/>
          <w:szCs w:val="22"/>
        </w:rPr>
        <w:t>with</w:t>
      </w:r>
      <w:r w:rsidRPr="008439E8">
        <w:rPr>
          <w:rFonts w:cs="Arial"/>
          <w:spacing w:val="-5"/>
          <w:szCs w:val="22"/>
        </w:rPr>
        <w:t xml:space="preserve"> </w:t>
      </w:r>
      <w:r w:rsidRPr="008439E8">
        <w:rPr>
          <w:rFonts w:cs="Arial"/>
          <w:szCs w:val="22"/>
        </w:rPr>
        <w:t>pre-existing</w:t>
      </w:r>
      <w:r w:rsidRPr="008439E8">
        <w:rPr>
          <w:rFonts w:cs="Arial"/>
          <w:spacing w:val="-5"/>
          <w:szCs w:val="22"/>
        </w:rPr>
        <w:t xml:space="preserve"> </w:t>
      </w:r>
      <w:r w:rsidRPr="008439E8">
        <w:rPr>
          <w:rFonts w:cs="Arial"/>
          <w:szCs w:val="22"/>
        </w:rPr>
        <w:t>cardiovascular</w:t>
      </w:r>
      <w:r w:rsidRPr="008439E8">
        <w:rPr>
          <w:rFonts w:cs="Arial"/>
          <w:spacing w:val="-5"/>
          <w:szCs w:val="22"/>
        </w:rPr>
        <w:t xml:space="preserve"> </w:t>
      </w:r>
      <w:r w:rsidRPr="008439E8">
        <w:rPr>
          <w:rFonts w:cs="Arial"/>
          <w:szCs w:val="22"/>
        </w:rPr>
        <w:t xml:space="preserve">disease; this was already a contraindication in </w:t>
      </w:r>
      <w:r w:rsidRPr="008439E8">
        <w:rPr>
          <w:rFonts w:cs="Arial"/>
          <w:spacing w:val="-2"/>
          <w:szCs w:val="22"/>
        </w:rPr>
        <w:t>prescribin</w:t>
      </w:r>
      <w:r w:rsidRPr="008439E8">
        <w:rPr>
          <w:rFonts w:cs="Arial"/>
          <w:szCs w:val="22"/>
        </w:rPr>
        <w:t xml:space="preserve">g </w:t>
      </w:r>
      <w:r w:rsidRPr="008439E8">
        <w:rPr>
          <w:rFonts w:cs="Arial"/>
          <w:spacing w:val="-2"/>
          <w:szCs w:val="22"/>
        </w:rPr>
        <w:t>guidance</w:t>
      </w:r>
      <w:r w:rsidR="00ED6215" w:rsidRPr="008439E8">
        <w:rPr>
          <w:rFonts w:cs="Arial"/>
          <w:spacing w:val="-2"/>
          <w:szCs w:val="22"/>
        </w:rPr>
        <w:t>,</w:t>
      </w:r>
      <w:r w:rsidRPr="008439E8">
        <w:rPr>
          <w:rFonts w:cs="Arial"/>
          <w:noProof/>
          <w:spacing w:val="-2"/>
          <w:szCs w:val="22"/>
          <w:vertAlign w:val="superscript"/>
        </w:rPr>
        <w:t>1</w:t>
      </w:r>
      <w:r w:rsidRPr="008439E8">
        <w:rPr>
          <w:rFonts w:cs="Arial"/>
          <w:spacing w:val="-2"/>
          <w:szCs w:val="22"/>
        </w:rPr>
        <w:t xml:space="preserve"> all patients were aged over 55 years; the trial showed only a small increase in rates, especially when compared to other factors such as smoking</w:t>
      </w:r>
      <w:r w:rsidRPr="008439E8">
        <w:rPr>
          <w:rFonts w:cs="Arial"/>
          <w:szCs w:val="22"/>
        </w:rPr>
        <w:t>;</w:t>
      </w:r>
      <w:r w:rsidRPr="008439E8">
        <w:rPr>
          <w:rFonts w:cs="Arial"/>
          <w:spacing w:val="-2"/>
          <w:szCs w:val="22"/>
        </w:rPr>
        <w:t xml:space="preserve"> In certain groups (young women for example) a statistically significant increase in rate ratio may be unimportant in absolute terms;</w:t>
      </w:r>
      <w:r w:rsidRPr="008439E8">
        <w:rPr>
          <w:rFonts w:cs="Arial"/>
          <w:noProof/>
          <w:spacing w:val="-2"/>
          <w:szCs w:val="22"/>
          <w:vertAlign w:val="superscript"/>
        </w:rPr>
        <w:t>4</w:t>
      </w:r>
      <w:r w:rsidRPr="008439E8">
        <w:rPr>
          <w:rFonts w:cs="Arial"/>
          <w:szCs w:val="22"/>
        </w:rPr>
        <w:t xml:space="preserve"> </w:t>
      </w:r>
      <w:r w:rsidRPr="008439E8">
        <w:rPr>
          <w:rFonts w:cs="Arial"/>
          <w:spacing w:val="-2"/>
          <w:szCs w:val="22"/>
        </w:rPr>
        <w:t xml:space="preserve">Individuals who achieved modest weight loss associated with the 6 week sibutramine run-in period in SCOUT had reduced 5-year MI and CVE rates; </w:t>
      </w:r>
      <w:r w:rsidRPr="008439E8">
        <w:rPr>
          <w:rFonts w:cs="Arial"/>
          <w:noProof/>
          <w:spacing w:val="-2"/>
          <w:szCs w:val="22"/>
          <w:vertAlign w:val="superscript"/>
        </w:rPr>
        <w:t>5</w:t>
      </w:r>
      <w:r w:rsidRPr="008439E8">
        <w:rPr>
          <w:rFonts w:cs="Arial"/>
          <w:spacing w:val="-2"/>
          <w:szCs w:val="22"/>
        </w:rPr>
        <w:t xml:space="preserve"> Prescribing of sibutramine in the trial did not reflect “real World” use, it continued for 5 times the licenced duration of treatment and the dose was not modified if the patient failed to lose weight, </w:t>
      </w:r>
      <w:r w:rsidRPr="008439E8">
        <w:rPr>
          <w:rFonts w:cs="Arial"/>
          <w:noProof/>
          <w:spacing w:val="-2"/>
          <w:szCs w:val="22"/>
          <w:vertAlign w:val="superscript"/>
        </w:rPr>
        <w:t>4</w:t>
      </w:r>
      <w:r w:rsidR="00783029" w:rsidRPr="008439E8">
        <w:rPr>
          <w:rFonts w:cs="Arial"/>
          <w:noProof/>
          <w:spacing w:val="-2"/>
          <w:szCs w:val="22"/>
          <w:vertAlign w:val="superscript"/>
        </w:rPr>
        <w:t xml:space="preserve">, </w:t>
      </w:r>
      <w:r w:rsidRPr="008439E8">
        <w:rPr>
          <w:rFonts w:cs="Arial"/>
          <w:noProof/>
          <w:spacing w:val="-2"/>
          <w:szCs w:val="22"/>
          <w:vertAlign w:val="superscript"/>
        </w:rPr>
        <w:t xml:space="preserve"> 6</w:t>
      </w:r>
      <w:r w:rsidR="00783029" w:rsidRPr="008439E8">
        <w:rPr>
          <w:rFonts w:cs="Arial"/>
          <w:noProof/>
          <w:spacing w:val="-2"/>
          <w:szCs w:val="22"/>
          <w:vertAlign w:val="superscript"/>
        </w:rPr>
        <w:t>,</w:t>
      </w:r>
      <w:r w:rsidRPr="008439E8">
        <w:rPr>
          <w:rFonts w:cs="Arial"/>
          <w:noProof/>
          <w:spacing w:val="-2"/>
          <w:szCs w:val="22"/>
          <w:vertAlign w:val="superscript"/>
        </w:rPr>
        <w:t xml:space="preserve"> 7</w:t>
      </w:r>
      <w:r w:rsidR="00783029" w:rsidRPr="008439E8">
        <w:rPr>
          <w:rFonts w:cs="Arial"/>
          <w:noProof/>
          <w:spacing w:val="-2"/>
          <w:szCs w:val="22"/>
          <w:vertAlign w:val="superscript"/>
        </w:rPr>
        <w:t>,</w:t>
      </w:r>
      <w:r w:rsidRPr="008439E8">
        <w:rPr>
          <w:rFonts w:cs="Arial"/>
          <w:noProof/>
          <w:spacing w:val="-2"/>
          <w:szCs w:val="22"/>
          <w:vertAlign w:val="superscript"/>
        </w:rPr>
        <w:t xml:space="preserve"> 8</w:t>
      </w:r>
      <w:r w:rsidRPr="008439E8">
        <w:rPr>
          <w:rFonts w:cs="Arial"/>
          <w:spacing w:val="-2"/>
          <w:szCs w:val="22"/>
        </w:rPr>
        <w:t xml:space="preserve"> There is little evidence that the alternative weight-loss medication (orlistat) reduces cardiovascular risk,</w:t>
      </w:r>
      <w:r w:rsidRPr="008439E8">
        <w:rPr>
          <w:rFonts w:cs="Arial"/>
          <w:noProof/>
          <w:szCs w:val="22"/>
          <w:vertAlign w:val="superscript"/>
        </w:rPr>
        <w:t>4</w:t>
      </w:r>
      <w:r w:rsidRPr="008439E8">
        <w:rPr>
          <w:rFonts w:cs="Arial"/>
          <w:szCs w:val="22"/>
        </w:rPr>
        <w:t xml:space="preserve"> so a head-to-head comparison of these medications may be more informative.</w:t>
      </w:r>
    </w:p>
    <w:p w:rsidR="00783029" w:rsidRPr="008439E8" w:rsidRDefault="00783029" w:rsidP="00EF34D5">
      <w:pPr>
        <w:spacing w:after="0" w:line="480" w:lineRule="auto"/>
        <w:rPr>
          <w:rFonts w:cs="Arial"/>
          <w:szCs w:val="22"/>
        </w:rPr>
      </w:pPr>
    </w:p>
    <w:p w:rsidR="00783029" w:rsidRPr="008439E8" w:rsidRDefault="00263078" w:rsidP="00EF34D5">
      <w:pPr>
        <w:spacing w:after="0" w:line="480" w:lineRule="auto"/>
        <w:rPr>
          <w:rFonts w:cs="Arial"/>
          <w:szCs w:val="22"/>
        </w:rPr>
      </w:pPr>
      <w:r w:rsidRPr="008439E8">
        <w:rPr>
          <w:rFonts w:cs="Arial"/>
          <w:szCs w:val="22"/>
        </w:rPr>
        <w:t>Given the increasing levels of obesity worldwide, a better understanding of the “real World” effects of weight loss medications is needed. Between first licencing and suspension a large number of patients in the UK were prescribed sibutramine, and use of data routinely gathered on these patients could address some of the limitations of SCOUT, whilst putting no further patients at risk. Thus, in this study we aimed to assess the comparative risk of sibutramine and orlistat in “real World” use. Analysis of this cohort has shown that there is unlikely to be a clinically meaningful difference between these drugs in terms of weight-loss; patients prescribed orlistat lost an average of 0.94kg/month (95%CI 0.93-0.95) and patients pre</w:t>
      </w:r>
      <w:r w:rsidR="00ED6215" w:rsidRPr="008439E8">
        <w:rPr>
          <w:rFonts w:cs="Arial"/>
          <w:szCs w:val="22"/>
        </w:rPr>
        <w:t xml:space="preserve">scribed sibutramine lost 1.28kg </w:t>
      </w:r>
      <w:r w:rsidRPr="008439E8">
        <w:rPr>
          <w:rFonts w:cs="Arial"/>
          <w:szCs w:val="22"/>
        </w:rPr>
        <w:t>month</w:t>
      </w:r>
      <w:r w:rsidR="00ED6215" w:rsidRPr="008439E8">
        <w:rPr>
          <w:rFonts w:cs="Arial"/>
          <w:szCs w:val="22"/>
          <w:vertAlign w:val="superscript"/>
        </w:rPr>
        <w:t>-1</w:t>
      </w:r>
      <w:r w:rsidRPr="008439E8">
        <w:rPr>
          <w:rFonts w:cs="Arial"/>
          <w:szCs w:val="22"/>
        </w:rPr>
        <w:t xml:space="preserve"> (95%CI 1.26-1.30) over the first four months, but orlistat was slightly superior at sustaining weight loss at three years</w:t>
      </w:r>
      <w:r w:rsidR="00783029" w:rsidRPr="008439E8">
        <w:rPr>
          <w:rFonts w:cs="Arial"/>
          <w:szCs w:val="22"/>
        </w:rPr>
        <w:t>.</w:t>
      </w:r>
      <w:r w:rsidRPr="008439E8">
        <w:rPr>
          <w:rFonts w:cs="Arial"/>
          <w:noProof/>
          <w:szCs w:val="22"/>
          <w:vertAlign w:val="superscript"/>
        </w:rPr>
        <w:t>9</w:t>
      </w:r>
    </w:p>
    <w:p w:rsidR="00263078" w:rsidRPr="008439E8" w:rsidRDefault="00263078" w:rsidP="00EF34D5">
      <w:pPr>
        <w:spacing w:after="0" w:line="480" w:lineRule="auto"/>
        <w:rPr>
          <w:rFonts w:cs="Arial"/>
          <w:szCs w:val="22"/>
        </w:rPr>
      </w:pPr>
      <w:r w:rsidRPr="008439E8">
        <w:rPr>
          <w:rFonts w:cs="Arial"/>
          <w:szCs w:val="22"/>
        </w:rPr>
        <w:t xml:space="preserve"> </w:t>
      </w:r>
    </w:p>
    <w:p w:rsidR="00263078" w:rsidRPr="008439E8" w:rsidRDefault="00263078" w:rsidP="00EF34D5">
      <w:pPr>
        <w:spacing w:after="0" w:line="480" w:lineRule="auto"/>
        <w:rPr>
          <w:rFonts w:cs="Arial"/>
          <w:szCs w:val="22"/>
        </w:rPr>
      </w:pPr>
      <w:r w:rsidRPr="008439E8">
        <w:rPr>
          <w:rFonts w:cs="Arial"/>
          <w:szCs w:val="22"/>
        </w:rPr>
        <w:t>Objectives of the study were to</w:t>
      </w:r>
      <w:r w:rsidRPr="008439E8">
        <w:rPr>
          <w:rFonts w:cs="Arial"/>
          <w:spacing w:val="-4"/>
          <w:szCs w:val="22"/>
        </w:rPr>
        <w:t xml:space="preserve"> </w:t>
      </w:r>
      <w:r w:rsidRPr="008439E8">
        <w:rPr>
          <w:rFonts w:cs="Arial"/>
          <w:szCs w:val="22"/>
        </w:rPr>
        <w:t>determine</w:t>
      </w:r>
      <w:r w:rsidRPr="008439E8">
        <w:rPr>
          <w:rFonts w:cs="Arial"/>
          <w:spacing w:val="-4"/>
          <w:szCs w:val="22"/>
        </w:rPr>
        <w:t xml:space="preserve"> </w:t>
      </w:r>
      <w:r w:rsidRPr="008439E8">
        <w:rPr>
          <w:rFonts w:cs="Arial"/>
          <w:szCs w:val="22"/>
        </w:rPr>
        <w:t>the</w:t>
      </w:r>
      <w:r w:rsidRPr="008439E8">
        <w:rPr>
          <w:rFonts w:cs="Arial"/>
          <w:spacing w:val="-4"/>
          <w:szCs w:val="22"/>
        </w:rPr>
        <w:t xml:space="preserve"> </w:t>
      </w:r>
      <w:r w:rsidRPr="008439E8">
        <w:rPr>
          <w:rFonts w:cs="Arial"/>
          <w:szCs w:val="22"/>
        </w:rPr>
        <w:t>rate</w:t>
      </w:r>
      <w:r w:rsidRPr="008439E8">
        <w:rPr>
          <w:rFonts w:cs="Arial"/>
          <w:spacing w:val="-4"/>
          <w:szCs w:val="22"/>
        </w:rPr>
        <w:t xml:space="preserve"> </w:t>
      </w:r>
      <w:r w:rsidRPr="008439E8">
        <w:rPr>
          <w:rFonts w:cs="Arial"/>
          <w:szCs w:val="22"/>
        </w:rPr>
        <w:t>of incident</w:t>
      </w:r>
      <w:r w:rsidRPr="008439E8">
        <w:rPr>
          <w:rFonts w:cs="Arial"/>
          <w:spacing w:val="-4"/>
          <w:szCs w:val="22"/>
        </w:rPr>
        <w:t xml:space="preserve"> </w:t>
      </w:r>
      <w:r w:rsidRPr="008439E8">
        <w:rPr>
          <w:rFonts w:cs="Arial"/>
          <w:szCs w:val="22"/>
        </w:rPr>
        <w:t>MI or CVE</w:t>
      </w:r>
      <w:r w:rsidRPr="008439E8">
        <w:rPr>
          <w:rFonts w:cs="Arial"/>
          <w:spacing w:val="-4"/>
          <w:szCs w:val="22"/>
        </w:rPr>
        <w:t xml:space="preserve"> </w:t>
      </w:r>
      <w:r w:rsidRPr="008439E8">
        <w:rPr>
          <w:rFonts w:cs="Arial"/>
          <w:szCs w:val="22"/>
        </w:rPr>
        <w:t>(both</w:t>
      </w:r>
      <w:r w:rsidRPr="008439E8">
        <w:rPr>
          <w:rFonts w:cs="Arial"/>
          <w:spacing w:val="-4"/>
          <w:szCs w:val="22"/>
        </w:rPr>
        <w:t xml:space="preserve"> </w:t>
      </w:r>
      <w:r w:rsidRPr="008439E8">
        <w:rPr>
          <w:rFonts w:cs="Arial"/>
          <w:szCs w:val="22"/>
        </w:rPr>
        <w:t>fatal</w:t>
      </w:r>
      <w:r w:rsidRPr="008439E8">
        <w:rPr>
          <w:rFonts w:cs="Arial"/>
          <w:spacing w:val="-4"/>
          <w:szCs w:val="22"/>
        </w:rPr>
        <w:t xml:space="preserve"> </w:t>
      </w:r>
      <w:r w:rsidRPr="008439E8">
        <w:rPr>
          <w:rFonts w:cs="Arial"/>
          <w:szCs w:val="22"/>
        </w:rPr>
        <w:t>and</w:t>
      </w:r>
      <w:r w:rsidRPr="008439E8">
        <w:rPr>
          <w:rFonts w:cs="Arial"/>
          <w:spacing w:val="-4"/>
          <w:szCs w:val="22"/>
        </w:rPr>
        <w:t xml:space="preserve"> </w:t>
      </w:r>
      <w:r w:rsidRPr="008439E8">
        <w:rPr>
          <w:rFonts w:cs="Arial"/>
          <w:szCs w:val="22"/>
        </w:rPr>
        <w:t>non­fatal)</w:t>
      </w:r>
      <w:r w:rsidRPr="008439E8">
        <w:rPr>
          <w:rFonts w:cs="Arial"/>
          <w:spacing w:val="-4"/>
          <w:szCs w:val="22"/>
        </w:rPr>
        <w:t xml:space="preserve"> </w:t>
      </w:r>
      <w:r w:rsidRPr="008439E8">
        <w:rPr>
          <w:rFonts w:cs="Arial"/>
          <w:szCs w:val="22"/>
        </w:rPr>
        <w:t>in</w:t>
      </w:r>
      <w:r w:rsidRPr="008439E8">
        <w:rPr>
          <w:rFonts w:cs="Arial"/>
          <w:spacing w:val="-4"/>
          <w:szCs w:val="22"/>
        </w:rPr>
        <w:t xml:space="preserve"> </w:t>
      </w:r>
      <w:r w:rsidRPr="008439E8">
        <w:rPr>
          <w:rFonts w:cs="Arial"/>
          <w:szCs w:val="22"/>
        </w:rPr>
        <w:t>patients</w:t>
      </w:r>
      <w:r w:rsidRPr="008439E8">
        <w:rPr>
          <w:rFonts w:cs="Arial"/>
          <w:spacing w:val="-4"/>
          <w:szCs w:val="22"/>
        </w:rPr>
        <w:t xml:space="preserve"> </w:t>
      </w:r>
      <w:r w:rsidRPr="008439E8">
        <w:rPr>
          <w:rFonts w:cs="Arial"/>
          <w:szCs w:val="22"/>
        </w:rPr>
        <w:t xml:space="preserve">prescribed </w:t>
      </w:r>
      <w:r w:rsidRPr="008439E8">
        <w:rPr>
          <w:rFonts w:cs="Arial"/>
          <w:spacing w:val="-3"/>
          <w:szCs w:val="22"/>
        </w:rPr>
        <w:t>sibutramin</w:t>
      </w:r>
      <w:r w:rsidRPr="008439E8">
        <w:rPr>
          <w:rFonts w:cs="Arial"/>
          <w:szCs w:val="22"/>
        </w:rPr>
        <w:t>e</w:t>
      </w:r>
      <w:r w:rsidRPr="008439E8">
        <w:rPr>
          <w:rFonts w:cs="Arial"/>
          <w:spacing w:val="-5"/>
          <w:szCs w:val="22"/>
        </w:rPr>
        <w:t xml:space="preserve"> </w:t>
      </w:r>
      <w:r w:rsidRPr="008439E8">
        <w:rPr>
          <w:rFonts w:cs="Arial"/>
          <w:spacing w:val="-3"/>
          <w:szCs w:val="22"/>
        </w:rPr>
        <w:t>o</w:t>
      </w:r>
      <w:r w:rsidRPr="008439E8">
        <w:rPr>
          <w:rFonts w:cs="Arial"/>
          <w:szCs w:val="22"/>
        </w:rPr>
        <w:t>r</w:t>
      </w:r>
      <w:r w:rsidRPr="008439E8">
        <w:rPr>
          <w:rFonts w:cs="Arial"/>
          <w:spacing w:val="-5"/>
          <w:szCs w:val="22"/>
        </w:rPr>
        <w:t xml:space="preserve"> </w:t>
      </w:r>
      <w:r w:rsidRPr="008439E8">
        <w:rPr>
          <w:rFonts w:cs="Arial"/>
          <w:spacing w:val="-3"/>
          <w:szCs w:val="22"/>
        </w:rPr>
        <w:t xml:space="preserve">orlistat, </w:t>
      </w:r>
      <w:r w:rsidRPr="008439E8">
        <w:rPr>
          <w:rFonts w:cs="Arial"/>
          <w:szCs w:val="22"/>
        </w:rPr>
        <w:t>the</w:t>
      </w:r>
      <w:r w:rsidRPr="008439E8">
        <w:rPr>
          <w:rFonts w:cs="Arial"/>
          <w:spacing w:val="-3"/>
          <w:szCs w:val="22"/>
        </w:rPr>
        <w:t xml:space="preserve"> </w:t>
      </w:r>
      <w:r w:rsidRPr="008439E8">
        <w:rPr>
          <w:rFonts w:cs="Arial"/>
          <w:szCs w:val="22"/>
        </w:rPr>
        <w:t>rate</w:t>
      </w:r>
      <w:r w:rsidRPr="008439E8">
        <w:rPr>
          <w:rFonts w:cs="Arial"/>
          <w:spacing w:val="-3"/>
          <w:szCs w:val="22"/>
        </w:rPr>
        <w:t xml:space="preserve"> </w:t>
      </w:r>
      <w:r w:rsidRPr="008439E8">
        <w:rPr>
          <w:rFonts w:cs="Arial"/>
          <w:szCs w:val="22"/>
        </w:rPr>
        <w:t>of</w:t>
      </w:r>
      <w:r w:rsidRPr="008439E8">
        <w:rPr>
          <w:rFonts w:cs="Arial"/>
          <w:spacing w:val="-3"/>
          <w:szCs w:val="22"/>
        </w:rPr>
        <w:t xml:space="preserve"> </w:t>
      </w:r>
      <w:r w:rsidRPr="008439E8">
        <w:rPr>
          <w:rFonts w:cs="Arial"/>
          <w:szCs w:val="22"/>
        </w:rPr>
        <w:t>MI or CVE in</w:t>
      </w:r>
      <w:r w:rsidRPr="008439E8">
        <w:rPr>
          <w:rFonts w:cs="Arial"/>
          <w:spacing w:val="-3"/>
          <w:szCs w:val="22"/>
        </w:rPr>
        <w:t xml:space="preserve"> </w:t>
      </w:r>
      <w:r w:rsidRPr="008439E8">
        <w:rPr>
          <w:rFonts w:cs="Arial"/>
          <w:szCs w:val="22"/>
        </w:rPr>
        <w:t>high-risk</w:t>
      </w:r>
      <w:r w:rsidRPr="008439E8">
        <w:rPr>
          <w:rFonts w:cs="Arial"/>
          <w:spacing w:val="-3"/>
          <w:szCs w:val="22"/>
        </w:rPr>
        <w:t xml:space="preserve"> </w:t>
      </w:r>
      <w:r w:rsidRPr="008439E8">
        <w:rPr>
          <w:rFonts w:cs="Arial"/>
          <w:szCs w:val="22"/>
        </w:rPr>
        <w:t>patients</w:t>
      </w:r>
      <w:r w:rsidRPr="008439E8">
        <w:rPr>
          <w:rFonts w:cs="Arial"/>
          <w:spacing w:val="-3"/>
          <w:szCs w:val="22"/>
        </w:rPr>
        <w:t xml:space="preserve"> </w:t>
      </w:r>
      <w:r w:rsidRPr="008439E8">
        <w:rPr>
          <w:rFonts w:cs="Arial"/>
          <w:szCs w:val="22"/>
        </w:rPr>
        <w:t xml:space="preserve">(i.e. those with pre-existing cardiovascular disease or T2D plus another cardiac risk factor) </w:t>
      </w:r>
      <w:r w:rsidRPr="008439E8">
        <w:rPr>
          <w:rFonts w:cs="Arial"/>
          <w:color w:val="000000"/>
          <w:spacing w:val="-2"/>
          <w:szCs w:val="22"/>
        </w:rPr>
        <w:t xml:space="preserve">and </w:t>
      </w:r>
      <w:r w:rsidRPr="008439E8">
        <w:rPr>
          <w:rFonts w:cs="Arial"/>
          <w:szCs w:val="22"/>
        </w:rPr>
        <w:t>the rate of</w:t>
      </w:r>
      <w:r w:rsidRPr="008439E8">
        <w:rPr>
          <w:rFonts w:cs="Arial"/>
          <w:spacing w:val="-5"/>
          <w:szCs w:val="22"/>
        </w:rPr>
        <w:t xml:space="preserve"> </w:t>
      </w:r>
      <w:r w:rsidRPr="008439E8">
        <w:rPr>
          <w:rFonts w:cs="Arial"/>
          <w:szCs w:val="22"/>
        </w:rPr>
        <w:t>all-cause</w:t>
      </w:r>
      <w:r w:rsidRPr="008439E8">
        <w:rPr>
          <w:rFonts w:cs="Arial"/>
          <w:spacing w:val="-5"/>
          <w:szCs w:val="22"/>
        </w:rPr>
        <w:t xml:space="preserve"> </w:t>
      </w:r>
      <w:r w:rsidRPr="008439E8">
        <w:rPr>
          <w:rFonts w:cs="Arial"/>
          <w:szCs w:val="22"/>
        </w:rPr>
        <w:t>mortality.</w:t>
      </w:r>
    </w:p>
    <w:p w:rsidR="00263078" w:rsidRPr="008439E8" w:rsidRDefault="00263078" w:rsidP="00EF34D5">
      <w:pPr>
        <w:spacing w:after="0" w:line="480" w:lineRule="auto"/>
        <w:rPr>
          <w:rFonts w:cs="Arial"/>
          <w:szCs w:val="22"/>
        </w:rPr>
      </w:pPr>
    </w:p>
    <w:p w:rsidR="00263078" w:rsidRPr="008439E8" w:rsidRDefault="00263078" w:rsidP="00EF34D5">
      <w:pPr>
        <w:pStyle w:val="Heading1"/>
        <w:spacing w:before="0" w:after="0" w:line="480" w:lineRule="auto"/>
        <w:rPr>
          <w:rFonts w:ascii="Arial" w:hAnsi="Arial" w:cs="Arial"/>
          <w:b/>
          <w:color w:val="595959" w:themeColor="text1" w:themeTint="A6"/>
          <w:szCs w:val="36"/>
        </w:rPr>
      </w:pPr>
      <w:bookmarkStart w:id="4" w:name="_Toc395780031"/>
      <w:r w:rsidRPr="008439E8">
        <w:rPr>
          <w:rFonts w:ascii="Arial" w:hAnsi="Arial" w:cs="Arial"/>
          <w:b/>
          <w:szCs w:val="36"/>
        </w:rPr>
        <w:t>Subjects and Methods</w:t>
      </w:r>
      <w:bookmarkEnd w:id="4"/>
    </w:p>
    <w:p w:rsidR="00263078" w:rsidRPr="008439E8" w:rsidRDefault="00263078" w:rsidP="00EF34D5">
      <w:pPr>
        <w:pStyle w:val="Heading3"/>
        <w:spacing w:before="0" w:after="0" w:line="480" w:lineRule="auto"/>
        <w:rPr>
          <w:rFonts w:ascii="Arial" w:hAnsi="Arial" w:cs="Arial"/>
          <w:b/>
          <w:color w:val="auto"/>
          <w:sz w:val="22"/>
          <w:szCs w:val="22"/>
        </w:rPr>
      </w:pPr>
      <w:bookmarkStart w:id="5" w:name="_Toc395780032"/>
      <w:r w:rsidRPr="008439E8">
        <w:rPr>
          <w:rFonts w:ascii="Arial" w:hAnsi="Arial" w:cs="Arial"/>
          <w:b/>
          <w:color w:val="auto"/>
          <w:sz w:val="22"/>
          <w:szCs w:val="22"/>
        </w:rPr>
        <w:t>Study design</w:t>
      </w:r>
      <w:bookmarkEnd w:id="5"/>
      <w:r w:rsidRPr="008439E8">
        <w:rPr>
          <w:rFonts w:ascii="Arial" w:hAnsi="Arial" w:cs="Arial"/>
          <w:b/>
          <w:color w:val="auto"/>
          <w:sz w:val="22"/>
          <w:szCs w:val="22"/>
        </w:rPr>
        <w:t xml:space="preserve"> </w:t>
      </w:r>
    </w:p>
    <w:p w:rsidR="00263078" w:rsidRPr="008439E8" w:rsidRDefault="00263078" w:rsidP="00EF34D5">
      <w:pPr>
        <w:spacing w:after="0" w:line="480" w:lineRule="auto"/>
        <w:rPr>
          <w:rFonts w:cs="Arial"/>
          <w:szCs w:val="22"/>
        </w:rPr>
      </w:pPr>
      <w:r w:rsidRPr="008439E8">
        <w:rPr>
          <w:rFonts w:cs="Arial"/>
          <w:szCs w:val="22"/>
        </w:rPr>
        <w:t xml:space="preserve">A cohort study using prospectively collected routine primary care data from the UK Clinical Practice Research Datalink (CPRD). </w:t>
      </w:r>
    </w:p>
    <w:p w:rsidR="00263078" w:rsidRPr="008439E8" w:rsidRDefault="00263078" w:rsidP="00EF34D5">
      <w:pPr>
        <w:spacing w:after="0" w:line="480" w:lineRule="auto"/>
        <w:rPr>
          <w:rFonts w:cs="Arial"/>
          <w:szCs w:val="22"/>
        </w:rPr>
      </w:pPr>
    </w:p>
    <w:p w:rsidR="00263078" w:rsidRPr="008439E8" w:rsidRDefault="00263078" w:rsidP="00EF34D5">
      <w:pPr>
        <w:pStyle w:val="Heading3"/>
        <w:spacing w:before="0" w:after="0" w:line="480" w:lineRule="auto"/>
        <w:rPr>
          <w:rFonts w:ascii="Arial" w:hAnsi="Arial" w:cs="Arial"/>
          <w:b/>
          <w:sz w:val="22"/>
          <w:szCs w:val="22"/>
        </w:rPr>
      </w:pPr>
      <w:bookmarkStart w:id="6" w:name="_Toc395780033"/>
      <w:r w:rsidRPr="008439E8">
        <w:rPr>
          <w:rFonts w:ascii="Arial" w:hAnsi="Arial" w:cs="Arial"/>
          <w:b/>
          <w:sz w:val="22"/>
          <w:szCs w:val="22"/>
        </w:rPr>
        <w:t>Data Source</w:t>
      </w:r>
      <w:bookmarkEnd w:id="6"/>
    </w:p>
    <w:p w:rsidR="00263078" w:rsidRPr="008439E8" w:rsidRDefault="00263078" w:rsidP="00EF34D5">
      <w:pPr>
        <w:spacing w:after="0" w:line="480" w:lineRule="auto"/>
        <w:rPr>
          <w:rFonts w:cs="Arial"/>
          <w:szCs w:val="22"/>
        </w:rPr>
      </w:pPr>
      <w:r w:rsidRPr="008439E8">
        <w:rPr>
          <w:rFonts w:cs="Arial"/>
          <w:szCs w:val="22"/>
        </w:rPr>
        <w:t>CPRD contains anonymised healthcare records for approximately 14 million patients registered at over 660 general practice (GP) surgeries in the UK</w:t>
      </w:r>
      <w:r w:rsidR="00783029" w:rsidRPr="008439E8">
        <w:rPr>
          <w:rFonts w:cs="Arial"/>
          <w:szCs w:val="22"/>
        </w:rPr>
        <w:t>.</w:t>
      </w:r>
      <w:r w:rsidRPr="008439E8">
        <w:rPr>
          <w:rFonts w:cs="Arial"/>
          <w:noProof/>
          <w:szCs w:val="22"/>
          <w:vertAlign w:val="superscript"/>
        </w:rPr>
        <w:t>10</w:t>
      </w:r>
      <w:r w:rsidRPr="008439E8">
        <w:rPr>
          <w:rFonts w:cs="Arial"/>
          <w:szCs w:val="22"/>
        </w:rPr>
        <w:t xml:space="preserve"> This represents nearly 10% of the UK population</w:t>
      </w:r>
      <w:r w:rsidR="00783029" w:rsidRPr="008439E8">
        <w:rPr>
          <w:rFonts w:cs="Arial"/>
          <w:szCs w:val="22"/>
        </w:rPr>
        <w:t>.</w:t>
      </w:r>
      <w:r w:rsidRPr="008439E8">
        <w:rPr>
          <w:rFonts w:cs="Arial"/>
          <w:noProof/>
          <w:szCs w:val="22"/>
          <w:vertAlign w:val="superscript"/>
        </w:rPr>
        <w:t>11</w:t>
      </w:r>
      <w:r w:rsidRPr="008439E8">
        <w:rPr>
          <w:rFonts w:cs="Arial"/>
          <w:szCs w:val="22"/>
        </w:rPr>
        <w:t xml:space="preserve"> The database began in 1987 and continuously records information relating to each consultation. It contains sociodemographic data, prescribed medication records, and Read Codes (searchable clinical terms) relating to diagnoses (made in primary and secondary care), signs and symptoms, procedures and clinical investigations</w:t>
      </w:r>
      <w:r w:rsidR="00783029" w:rsidRPr="008439E8">
        <w:rPr>
          <w:rFonts w:cs="Arial"/>
          <w:szCs w:val="22"/>
        </w:rPr>
        <w:t>.</w:t>
      </w:r>
      <w:r w:rsidRPr="008439E8">
        <w:rPr>
          <w:rFonts w:cs="Arial"/>
          <w:szCs w:val="22"/>
        </w:rPr>
        <w:t xml:space="preserve"> </w:t>
      </w:r>
      <w:r w:rsidRPr="008439E8">
        <w:rPr>
          <w:rFonts w:cs="Arial"/>
          <w:noProof/>
          <w:szCs w:val="22"/>
          <w:vertAlign w:val="superscript"/>
        </w:rPr>
        <w:t>12</w:t>
      </w:r>
      <w:r w:rsidR="00783029" w:rsidRPr="008439E8">
        <w:rPr>
          <w:rFonts w:cs="Arial"/>
          <w:noProof/>
          <w:szCs w:val="22"/>
          <w:vertAlign w:val="superscript"/>
        </w:rPr>
        <w:t>,</w:t>
      </w:r>
      <w:r w:rsidRPr="008439E8">
        <w:rPr>
          <w:rFonts w:cs="Arial"/>
          <w:noProof/>
          <w:szCs w:val="22"/>
          <w:vertAlign w:val="superscript"/>
        </w:rPr>
        <w:t xml:space="preserve"> 13</w:t>
      </w:r>
      <w:r w:rsidR="00783029" w:rsidRPr="008439E8">
        <w:rPr>
          <w:rFonts w:cs="Arial"/>
          <w:noProof/>
          <w:szCs w:val="22"/>
          <w:vertAlign w:val="superscript"/>
        </w:rPr>
        <w:t>,</w:t>
      </w:r>
      <w:r w:rsidRPr="008439E8">
        <w:rPr>
          <w:rFonts w:cs="Arial"/>
          <w:noProof/>
          <w:szCs w:val="22"/>
          <w:vertAlign w:val="superscript"/>
        </w:rPr>
        <w:t xml:space="preserve"> 14</w:t>
      </w:r>
      <w:r w:rsidRPr="008439E8">
        <w:rPr>
          <w:rFonts w:cs="Arial"/>
          <w:szCs w:val="22"/>
        </w:rPr>
        <w:t xml:space="preserve"> CPRD has been shown to be largely representative of the UK in terms of GP surgery size and geographical distribution. Individuals registered in the database are representative in terms of age and sex</w:t>
      </w:r>
      <w:r w:rsidR="00ED6215" w:rsidRPr="008439E8">
        <w:rPr>
          <w:rFonts w:cs="Arial"/>
          <w:szCs w:val="22"/>
        </w:rPr>
        <w:t>.</w:t>
      </w:r>
      <w:r w:rsidRPr="008439E8">
        <w:rPr>
          <w:rFonts w:cs="Arial"/>
          <w:noProof/>
          <w:szCs w:val="22"/>
          <w:vertAlign w:val="superscript"/>
        </w:rPr>
        <w:t>15</w:t>
      </w:r>
    </w:p>
    <w:p w:rsidR="00263078" w:rsidRPr="008439E8" w:rsidRDefault="00263078" w:rsidP="00EF34D5">
      <w:pPr>
        <w:spacing w:after="0" w:line="480" w:lineRule="auto"/>
        <w:rPr>
          <w:rFonts w:cs="Arial"/>
          <w:szCs w:val="22"/>
        </w:rPr>
      </w:pPr>
    </w:p>
    <w:p w:rsidR="00263078" w:rsidRPr="008439E8" w:rsidRDefault="00263078" w:rsidP="00EF34D5">
      <w:pPr>
        <w:pStyle w:val="Heading3"/>
        <w:spacing w:before="0" w:after="0" w:line="480" w:lineRule="auto"/>
        <w:rPr>
          <w:rFonts w:ascii="Arial" w:hAnsi="Arial" w:cs="Arial"/>
          <w:b/>
          <w:color w:val="auto"/>
          <w:sz w:val="22"/>
          <w:szCs w:val="22"/>
        </w:rPr>
      </w:pPr>
      <w:bookmarkStart w:id="7" w:name="_Toc395780035"/>
      <w:r w:rsidRPr="008439E8">
        <w:rPr>
          <w:rFonts w:ascii="Arial" w:hAnsi="Arial" w:cs="Arial"/>
          <w:b/>
          <w:color w:val="auto"/>
          <w:sz w:val="22"/>
          <w:szCs w:val="22"/>
        </w:rPr>
        <w:t>Study participants</w:t>
      </w:r>
      <w:bookmarkEnd w:id="7"/>
    </w:p>
    <w:p w:rsidR="00263078" w:rsidRPr="008439E8" w:rsidRDefault="00263078" w:rsidP="00EF34D5">
      <w:pPr>
        <w:spacing w:after="0" w:line="480" w:lineRule="auto"/>
        <w:rPr>
          <w:rFonts w:cs="Arial"/>
          <w:szCs w:val="22"/>
        </w:rPr>
      </w:pPr>
      <w:r w:rsidRPr="008439E8">
        <w:rPr>
          <w:rFonts w:cs="Arial"/>
          <w:szCs w:val="22"/>
        </w:rPr>
        <w:t>The cohort was drawn from CPRD starting from the date which the GP data was defined as being of suitable research quality</w:t>
      </w:r>
      <w:r w:rsidR="00783029" w:rsidRPr="008439E8">
        <w:rPr>
          <w:rFonts w:cs="Arial"/>
          <w:szCs w:val="22"/>
        </w:rPr>
        <w:t>)</w:t>
      </w:r>
      <w:r w:rsidRPr="008439E8">
        <w:rPr>
          <w:rFonts w:cs="Arial"/>
          <w:noProof/>
          <w:szCs w:val="22"/>
          <w:vertAlign w:val="superscript"/>
        </w:rPr>
        <w:t>16</w:t>
      </w:r>
      <w:r w:rsidRPr="008439E8">
        <w:rPr>
          <w:rFonts w:cs="Arial"/>
          <w:szCs w:val="22"/>
        </w:rPr>
        <w:t xml:space="preserve"> and ending at the start of June 2013. Patients were included if they: were aged over 18 years old, were prescribed either sibutramine or orlistat, were recorded as having BMI≥ 27</w:t>
      </w:r>
      <w:r w:rsidR="00ED6215" w:rsidRPr="008439E8">
        <w:rPr>
          <w:rFonts w:cs="Arial"/>
          <w:szCs w:val="22"/>
        </w:rPr>
        <w:t xml:space="preserve"> kg</w:t>
      </w:r>
      <w:r w:rsidRPr="008439E8">
        <w:rPr>
          <w:rFonts w:cs="Arial"/>
          <w:szCs w:val="22"/>
        </w:rPr>
        <w:t>m</w:t>
      </w:r>
      <w:r w:rsidR="00ED6215" w:rsidRPr="008439E8">
        <w:rPr>
          <w:rFonts w:cs="Arial"/>
          <w:szCs w:val="22"/>
          <w:vertAlign w:val="superscript"/>
        </w:rPr>
        <w:t>-</w:t>
      </w:r>
      <w:r w:rsidRPr="008439E8">
        <w:rPr>
          <w:rFonts w:cs="Arial"/>
          <w:szCs w:val="22"/>
          <w:vertAlign w:val="superscript"/>
        </w:rPr>
        <w:t>2</w:t>
      </w:r>
      <w:r w:rsidRPr="008439E8">
        <w:rPr>
          <w:rFonts w:cs="Arial"/>
          <w:szCs w:val="22"/>
        </w:rPr>
        <w:t xml:space="preserve"> (in line with NICE guidance for prescribing weight-loss medication), had at least 12 months registration before their first prescription (to identify incident rather than prevalent users), and the data quality in their record had met minimum agreed standards for use in research</w:t>
      </w:r>
      <w:r w:rsidR="00ED6215" w:rsidRPr="008439E8">
        <w:rPr>
          <w:rFonts w:cs="Arial"/>
          <w:szCs w:val="22"/>
        </w:rPr>
        <w:t>.</w:t>
      </w:r>
      <w:r w:rsidRPr="008439E8">
        <w:rPr>
          <w:rFonts w:cs="Arial"/>
          <w:noProof/>
          <w:szCs w:val="22"/>
          <w:vertAlign w:val="superscript"/>
        </w:rPr>
        <w:t>16</w:t>
      </w:r>
      <w:r w:rsidRPr="008439E8">
        <w:rPr>
          <w:rFonts w:cs="Arial"/>
          <w:szCs w:val="22"/>
        </w:rPr>
        <w:t xml:space="preserve"> A subgroup analysis was completed on patients that before their first prescription of weight loss medication had a Read code consistent with a history of cardiovascular disease (not including acute MI or CVE) such as coronary artery </w:t>
      </w:r>
      <w:r w:rsidRPr="008439E8">
        <w:rPr>
          <w:rFonts w:cs="Arial"/>
          <w:szCs w:val="22"/>
        </w:rPr>
        <w:lastRenderedPageBreak/>
        <w:t>disease, transient ischemic attack, or peripheral arterial occlusive disease, or T2D with at least one other cardiovascular risk factor (hypertension, dyslipidaemia, current smoking, or diabetic nephropathy).</w:t>
      </w:r>
    </w:p>
    <w:p w:rsidR="00263078" w:rsidRPr="008439E8" w:rsidRDefault="00263078" w:rsidP="00EF34D5">
      <w:pPr>
        <w:spacing w:after="0" w:line="480" w:lineRule="auto"/>
        <w:rPr>
          <w:rFonts w:cs="Arial"/>
          <w:szCs w:val="22"/>
        </w:rPr>
      </w:pPr>
    </w:p>
    <w:p w:rsidR="00263078" w:rsidRPr="008439E8" w:rsidRDefault="00263078" w:rsidP="00EF34D5">
      <w:pPr>
        <w:pStyle w:val="Heading3"/>
        <w:spacing w:before="0" w:after="0" w:line="480" w:lineRule="auto"/>
        <w:rPr>
          <w:rFonts w:ascii="Arial" w:hAnsi="Arial" w:cs="Arial"/>
          <w:b/>
          <w:color w:val="auto"/>
          <w:sz w:val="22"/>
          <w:szCs w:val="22"/>
        </w:rPr>
      </w:pPr>
      <w:bookmarkStart w:id="8" w:name="_Toc395780036"/>
      <w:r w:rsidRPr="008439E8">
        <w:rPr>
          <w:rFonts w:ascii="Arial" w:hAnsi="Arial" w:cs="Arial"/>
          <w:b/>
          <w:color w:val="auto"/>
          <w:sz w:val="22"/>
          <w:szCs w:val="22"/>
        </w:rPr>
        <w:t>Exposures, outcomes and covariates</w:t>
      </w:r>
      <w:bookmarkEnd w:id="8"/>
      <w:r w:rsidRPr="008439E8">
        <w:rPr>
          <w:rFonts w:ascii="Arial" w:hAnsi="Arial" w:cs="Arial"/>
          <w:b/>
          <w:color w:val="auto"/>
          <w:sz w:val="22"/>
          <w:szCs w:val="22"/>
        </w:rPr>
        <w:t xml:space="preserve"> </w:t>
      </w:r>
    </w:p>
    <w:p w:rsidR="00263078" w:rsidRPr="008439E8" w:rsidRDefault="00263078" w:rsidP="00EF34D5">
      <w:pPr>
        <w:spacing w:after="0" w:line="480" w:lineRule="auto"/>
        <w:rPr>
          <w:rFonts w:cs="Arial"/>
          <w:szCs w:val="22"/>
        </w:rPr>
      </w:pPr>
      <w:r w:rsidRPr="008439E8">
        <w:rPr>
          <w:rFonts w:cs="Arial"/>
          <w:szCs w:val="22"/>
        </w:rPr>
        <w:t>Patients were defined as exposed during the time they received their first continuous period of sibutramine prescribing; from the date of the first prescription to the date of the last prescription, plus the prescription length (expected end of treatment date), plus sixty days (to account for possible delayed side effects of treatment). The comparison group were patients prescribed orlistat, with the exposure period defined in the same manner. Patients were censored at the earliest of: event date, death date, bariatric surgery date or end of first constant prescribing period.</w:t>
      </w:r>
    </w:p>
    <w:p w:rsidR="00263078" w:rsidRPr="008439E8" w:rsidRDefault="00263078" w:rsidP="00EF34D5">
      <w:pPr>
        <w:spacing w:after="0" w:line="480" w:lineRule="auto"/>
        <w:rPr>
          <w:rFonts w:cs="Arial"/>
          <w:szCs w:val="22"/>
        </w:rPr>
      </w:pPr>
    </w:p>
    <w:p w:rsidR="00263078" w:rsidRPr="008439E8" w:rsidRDefault="00263078" w:rsidP="00EF34D5">
      <w:pPr>
        <w:spacing w:after="0" w:line="480" w:lineRule="auto"/>
        <w:rPr>
          <w:rFonts w:cs="Arial"/>
          <w:szCs w:val="22"/>
        </w:rPr>
      </w:pPr>
      <w:r w:rsidRPr="008439E8">
        <w:rPr>
          <w:rFonts w:cs="Arial"/>
          <w:szCs w:val="22"/>
        </w:rPr>
        <w:t>The decision to define patients as exposed sixty days following final dose of sibutramine was made because the postulated mechanism for causing MI or CVE is via acute changes in heart rate, blood pressure and QT interval</w:t>
      </w:r>
      <w:r w:rsidR="00ED6215" w:rsidRPr="008439E8">
        <w:rPr>
          <w:rFonts w:cs="Arial"/>
          <w:szCs w:val="22"/>
        </w:rPr>
        <w:t>.</w:t>
      </w:r>
      <w:r w:rsidRPr="008439E8">
        <w:rPr>
          <w:rFonts w:cs="Arial"/>
          <w:noProof/>
          <w:szCs w:val="22"/>
          <w:vertAlign w:val="superscript"/>
        </w:rPr>
        <w:t>17</w:t>
      </w:r>
      <w:r w:rsidRPr="008439E8">
        <w:rPr>
          <w:rFonts w:cs="Arial"/>
          <w:szCs w:val="22"/>
        </w:rPr>
        <w:t xml:space="preserve"> This approach should therefore produce an overestimate of the risk of sibutramine.</w:t>
      </w:r>
    </w:p>
    <w:p w:rsidR="00263078" w:rsidRPr="008439E8" w:rsidRDefault="00263078" w:rsidP="00EF34D5">
      <w:pPr>
        <w:spacing w:after="0" w:line="480" w:lineRule="auto"/>
        <w:rPr>
          <w:rFonts w:cs="Arial"/>
          <w:szCs w:val="22"/>
        </w:rPr>
      </w:pPr>
    </w:p>
    <w:p w:rsidR="00263078" w:rsidRPr="008439E8" w:rsidRDefault="00263078" w:rsidP="00EF34D5">
      <w:pPr>
        <w:spacing w:after="0" w:line="480" w:lineRule="auto"/>
        <w:jc w:val="both"/>
        <w:rPr>
          <w:rFonts w:cs="Arial"/>
          <w:szCs w:val="22"/>
        </w:rPr>
      </w:pPr>
      <w:r w:rsidRPr="008439E8">
        <w:rPr>
          <w:rFonts w:cs="Arial"/>
          <w:szCs w:val="22"/>
        </w:rPr>
        <w:t>The primary outcome of interest was time to first MI or CVE (MI/CVE). If a patient had multiple codes representing acute MI or CVE on multiple dates in their record the event was recorded as occurring on the date of first entry of that code.</w:t>
      </w:r>
      <w:r w:rsidRPr="008439E8">
        <w:rPr>
          <w:rFonts w:cs="Arial"/>
          <w:i/>
          <w:szCs w:val="22"/>
        </w:rPr>
        <w:t xml:space="preserve"> </w:t>
      </w:r>
      <w:r w:rsidRPr="008439E8">
        <w:rPr>
          <w:rFonts w:cs="Arial"/>
          <w:szCs w:val="22"/>
        </w:rPr>
        <w:t xml:space="preserve">A secondary outcome was all-cause mortality; death was ascertained from patients’ medical records and the date of death defined as the earliest of any records indicating that death had occurred. </w:t>
      </w:r>
    </w:p>
    <w:p w:rsidR="00263078" w:rsidRPr="008439E8" w:rsidRDefault="00263078" w:rsidP="00EF34D5">
      <w:pPr>
        <w:spacing w:after="0" w:line="480" w:lineRule="auto"/>
        <w:jc w:val="both"/>
        <w:rPr>
          <w:rFonts w:cs="Arial"/>
          <w:i/>
          <w:szCs w:val="22"/>
        </w:rPr>
      </w:pPr>
    </w:p>
    <w:p w:rsidR="00263078" w:rsidRPr="008439E8" w:rsidRDefault="00263078" w:rsidP="00EF34D5">
      <w:pPr>
        <w:spacing w:after="0" w:line="480" w:lineRule="auto"/>
        <w:rPr>
          <w:rFonts w:cs="Arial"/>
          <w:szCs w:val="22"/>
        </w:rPr>
      </w:pPr>
      <w:r w:rsidRPr="008439E8">
        <w:rPr>
          <w:rFonts w:cs="Arial"/>
          <w:szCs w:val="22"/>
        </w:rPr>
        <w:t xml:space="preserve">Other covariates were examined as possible confounders: age, sex, BMI, year of index prescribing of weight loss drug, smoking status, alcohol consumption, comorbidities (history of coronary heart disease (CHD), cerebrovascular disease (CVD), peripheral vascular </w:t>
      </w:r>
      <w:r w:rsidRPr="008439E8">
        <w:rPr>
          <w:rFonts w:cs="Arial"/>
          <w:szCs w:val="22"/>
        </w:rPr>
        <w:lastRenderedPageBreak/>
        <w:t xml:space="preserve">disease (PVD), any other atheroma, T2D, hypertension) and co-prescribing (oral anti-glycaemic medication, insulin, statin). </w:t>
      </w:r>
    </w:p>
    <w:p w:rsidR="00ED6215" w:rsidRPr="008439E8" w:rsidRDefault="00ED6215" w:rsidP="00EF34D5">
      <w:pPr>
        <w:spacing w:after="0" w:line="480" w:lineRule="auto"/>
        <w:rPr>
          <w:rFonts w:cs="Arial"/>
          <w:szCs w:val="22"/>
        </w:rPr>
      </w:pPr>
    </w:p>
    <w:p w:rsidR="00263078" w:rsidRPr="008439E8" w:rsidRDefault="00263078" w:rsidP="00402183">
      <w:pPr>
        <w:spacing w:after="0" w:line="480" w:lineRule="auto"/>
        <w:rPr>
          <w:rFonts w:cs="Arial"/>
          <w:szCs w:val="22"/>
        </w:rPr>
      </w:pPr>
      <w:r w:rsidRPr="008439E8">
        <w:rPr>
          <w:rFonts w:cs="Arial"/>
          <w:szCs w:val="22"/>
        </w:rPr>
        <w:t>BMI, comorbidities and co-prescribing information was taken from the most proximate entry in the notes prior to the start of weight loss medication prescribing. Smoking and alcohol history was from the most proximate entry either before or after the start of prescribing. Patients with missing information on smoking and/or alcohol consumption were compared with those with complete data. A complete case analysis was performed as we found no evidence that missingness was associated with the outcome</w:t>
      </w:r>
      <w:r w:rsidR="00ED6215" w:rsidRPr="008439E8">
        <w:rPr>
          <w:rFonts w:cs="Arial"/>
          <w:szCs w:val="22"/>
        </w:rPr>
        <w:t>.</w:t>
      </w:r>
      <w:r w:rsidRPr="008439E8">
        <w:rPr>
          <w:rFonts w:cs="Arial"/>
          <w:noProof/>
          <w:szCs w:val="22"/>
          <w:vertAlign w:val="superscript"/>
        </w:rPr>
        <w:t>18</w:t>
      </w:r>
      <w:r w:rsidRPr="008439E8">
        <w:rPr>
          <w:rFonts w:cs="Arial"/>
          <w:szCs w:val="22"/>
        </w:rPr>
        <w:t xml:space="preserve"> </w:t>
      </w:r>
    </w:p>
    <w:p w:rsidR="00263078" w:rsidRPr="008439E8" w:rsidRDefault="00263078" w:rsidP="00402183">
      <w:pPr>
        <w:spacing w:after="0" w:line="480" w:lineRule="auto"/>
        <w:rPr>
          <w:rFonts w:cs="Arial"/>
          <w:szCs w:val="22"/>
        </w:rPr>
      </w:pPr>
    </w:p>
    <w:p w:rsidR="00402183" w:rsidRPr="008439E8" w:rsidRDefault="00402183" w:rsidP="00402183">
      <w:pPr>
        <w:spacing w:after="0" w:line="480" w:lineRule="auto"/>
        <w:rPr>
          <w:b/>
        </w:rPr>
      </w:pPr>
      <w:r w:rsidRPr="008439E8">
        <w:rPr>
          <w:b/>
        </w:rPr>
        <w:t>Sample Size</w:t>
      </w:r>
    </w:p>
    <w:p w:rsidR="00402183" w:rsidRPr="008439E8" w:rsidRDefault="00402183" w:rsidP="00402183">
      <w:pPr>
        <w:spacing w:after="0" w:line="480" w:lineRule="auto"/>
      </w:pPr>
      <w:r w:rsidRPr="008439E8">
        <w:t>Assuming</w:t>
      </w:r>
      <w:r w:rsidRPr="008439E8">
        <w:rPr>
          <w:spacing w:val="-5"/>
        </w:rPr>
        <w:t xml:space="preserve"> </w:t>
      </w:r>
      <w:r w:rsidRPr="008439E8">
        <w:t>a</w:t>
      </w:r>
      <w:r w:rsidRPr="008439E8">
        <w:rPr>
          <w:spacing w:val="-5"/>
        </w:rPr>
        <w:t xml:space="preserve"> </w:t>
      </w:r>
      <w:r w:rsidRPr="008439E8">
        <w:t>baseline</w:t>
      </w:r>
      <w:r w:rsidRPr="008439E8">
        <w:rPr>
          <w:spacing w:val="-5"/>
        </w:rPr>
        <w:t xml:space="preserve"> </w:t>
      </w:r>
      <w:r w:rsidRPr="008439E8">
        <w:t>7%</w:t>
      </w:r>
      <w:r w:rsidRPr="008439E8">
        <w:rPr>
          <w:spacing w:val="-5"/>
        </w:rPr>
        <w:t xml:space="preserve"> </w:t>
      </w:r>
      <w:r w:rsidRPr="008439E8">
        <w:t>annual</w:t>
      </w:r>
      <w:r w:rsidRPr="008439E8">
        <w:rPr>
          <w:spacing w:val="-5"/>
        </w:rPr>
        <w:t xml:space="preserve"> </w:t>
      </w:r>
      <w:r w:rsidRPr="008439E8">
        <w:t>event</w:t>
      </w:r>
      <w:r w:rsidRPr="008439E8">
        <w:rPr>
          <w:spacing w:val="-5"/>
        </w:rPr>
        <w:t xml:space="preserve"> </w:t>
      </w:r>
      <w:r w:rsidRPr="008439E8">
        <w:t>rate,</w:t>
      </w:r>
      <w:r w:rsidRPr="008439E8">
        <w:rPr>
          <w:vertAlign w:val="superscript"/>
        </w:rPr>
        <w:t>3</w:t>
      </w:r>
      <w:r w:rsidRPr="008439E8">
        <w:rPr>
          <w:spacing w:val="-5"/>
        </w:rPr>
        <w:t xml:space="preserve"> </w:t>
      </w:r>
      <w:r w:rsidRPr="008439E8">
        <w:t>a</w:t>
      </w:r>
      <w:r w:rsidRPr="008439E8">
        <w:rPr>
          <w:spacing w:val="-5"/>
        </w:rPr>
        <w:t xml:space="preserve"> </w:t>
      </w:r>
      <w:r w:rsidRPr="008439E8">
        <w:t>two</w:t>
      </w:r>
      <w:r w:rsidRPr="008439E8">
        <w:rPr>
          <w:spacing w:val="-5"/>
        </w:rPr>
        <w:t xml:space="preserve"> </w:t>
      </w:r>
      <w:r w:rsidRPr="008439E8">
        <w:t>sided</w:t>
      </w:r>
      <w:r w:rsidRPr="008439E8">
        <w:rPr>
          <w:spacing w:val="-5"/>
        </w:rPr>
        <w:t xml:space="preserve"> </w:t>
      </w:r>
      <w:r w:rsidRPr="008439E8">
        <w:t>type</w:t>
      </w:r>
      <w:r w:rsidRPr="008439E8">
        <w:rPr>
          <w:spacing w:val="-5"/>
        </w:rPr>
        <w:t xml:space="preserve"> </w:t>
      </w:r>
      <w:r w:rsidRPr="008439E8">
        <w:t>I</w:t>
      </w:r>
      <w:r w:rsidRPr="008439E8">
        <w:rPr>
          <w:spacing w:val="-5"/>
        </w:rPr>
        <w:t xml:space="preserve"> </w:t>
      </w:r>
      <w:r w:rsidRPr="008439E8">
        <w:t>error</w:t>
      </w:r>
      <w:r w:rsidRPr="008439E8">
        <w:rPr>
          <w:spacing w:val="-5"/>
        </w:rPr>
        <w:t xml:space="preserve"> </w:t>
      </w:r>
      <w:r w:rsidRPr="008439E8">
        <w:t>rate</w:t>
      </w:r>
      <w:r w:rsidRPr="008439E8">
        <w:rPr>
          <w:spacing w:val="-5"/>
        </w:rPr>
        <w:t xml:space="preserve"> </w:t>
      </w:r>
      <w:r w:rsidRPr="008439E8">
        <w:t>of</w:t>
      </w:r>
      <w:r w:rsidRPr="008439E8">
        <w:rPr>
          <w:spacing w:val="-5"/>
        </w:rPr>
        <w:t xml:space="preserve"> </w:t>
      </w:r>
      <w:r w:rsidRPr="008439E8">
        <w:t>0.05,</w:t>
      </w:r>
      <w:r w:rsidRPr="008439E8">
        <w:rPr>
          <w:spacing w:val="-5"/>
        </w:rPr>
        <w:t xml:space="preserve"> </w:t>
      </w:r>
      <w:r w:rsidRPr="008439E8">
        <w:t>and</w:t>
      </w:r>
      <w:r w:rsidRPr="008439E8">
        <w:rPr>
          <w:spacing w:val="-5"/>
        </w:rPr>
        <w:t xml:space="preserve"> </w:t>
      </w:r>
      <w:r w:rsidRPr="008439E8">
        <w:t>power</w:t>
      </w:r>
      <w:r w:rsidRPr="008439E8">
        <w:rPr>
          <w:spacing w:val="-5"/>
        </w:rPr>
        <w:t xml:space="preserve"> </w:t>
      </w:r>
      <w:r w:rsidRPr="008439E8">
        <w:t>set</w:t>
      </w:r>
      <w:r w:rsidRPr="008439E8">
        <w:rPr>
          <w:spacing w:val="-5"/>
        </w:rPr>
        <w:t xml:space="preserve"> </w:t>
      </w:r>
      <w:r w:rsidRPr="008439E8">
        <w:t>at</w:t>
      </w:r>
      <w:r w:rsidRPr="008439E8">
        <w:rPr>
          <w:spacing w:val="-5"/>
        </w:rPr>
        <w:t xml:space="preserve"> </w:t>
      </w:r>
      <w:r w:rsidRPr="008439E8">
        <w:t>90%,</w:t>
      </w:r>
      <w:r w:rsidRPr="008439E8">
        <w:rPr>
          <w:spacing w:val="-5"/>
        </w:rPr>
        <w:t xml:space="preserve"> </w:t>
      </w:r>
      <w:r w:rsidRPr="008439E8">
        <w:t>to</w:t>
      </w:r>
      <w:r w:rsidRPr="008439E8">
        <w:rPr>
          <w:spacing w:val="-5"/>
        </w:rPr>
        <w:t xml:space="preserve"> </w:t>
      </w:r>
      <w:r w:rsidRPr="008439E8">
        <w:t>detect</w:t>
      </w:r>
      <w:r w:rsidRPr="008439E8">
        <w:rPr>
          <w:spacing w:val="-5"/>
        </w:rPr>
        <w:t xml:space="preserve"> </w:t>
      </w:r>
      <w:r w:rsidRPr="008439E8">
        <w:t>a 10%</w:t>
      </w:r>
      <w:r w:rsidRPr="008439E8">
        <w:rPr>
          <w:spacing w:val="-5"/>
        </w:rPr>
        <w:t xml:space="preserve"> </w:t>
      </w:r>
      <w:r w:rsidRPr="008439E8">
        <w:t>difference</w:t>
      </w:r>
      <w:r w:rsidRPr="008439E8">
        <w:rPr>
          <w:spacing w:val="-5"/>
        </w:rPr>
        <w:t xml:space="preserve"> </w:t>
      </w:r>
      <w:r w:rsidRPr="008439E8">
        <w:t>in</w:t>
      </w:r>
      <w:r w:rsidRPr="008439E8">
        <w:rPr>
          <w:spacing w:val="-5"/>
        </w:rPr>
        <w:t xml:space="preserve"> </w:t>
      </w:r>
      <w:r w:rsidRPr="008439E8">
        <w:t>hazard</w:t>
      </w:r>
      <w:r w:rsidRPr="008439E8">
        <w:rPr>
          <w:spacing w:val="-5"/>
        </w:rPr>
        <w:t xml:space="preserve"> </w:t>
      </w:r>
      <w:r w:rsidRPr="008439E8">
        <w:t>ratio</w:t>
      </w:r>
      <w:r w:rsidRPr="008439E8">
        <w:rPr>
          <w:spacing w:val="-5"/>
        </w:rPr>
        <w:t xml:space="preserve"> </w:t>
      </w:r>
      <w:r w:rsidRPr="008439E8">
        <w:t>between</w:t>
      </w:r>
      <w:r w:rsidRPr="008439E8">
        <w:rPr>
          <w:spacing w:val="-5"/>
        </w:rPr>
        <w:t xml:space="preserve"> </w:t>
      </w:r>
      <w:r w:rsidRPr="008439E8">
        <w:t>orlistat</w:t>
      </w:r>
      <w:r w:rsidRPr="008439E8">
        <w:rPr>
          <w:spacing w:val="-5"/>
        </w:rPr>
        <w:t xml:space="preserve"> </w:t>
      </w:r>
      <w:r w:rsidRPr="008439E8">
        <w:t>and</w:t>
      </w:r>
      <w:r w:rsidRPr="008439E8">
        <w:rPr>
          <w:spacing w:val="-5"/>
        </w:rPr>
        <w:t xml:space="preserve"> </w:t>
      </w:r>
      <w:r w:rsidRPr="008439E8">
        <w:t>sibutramine</w:t>
      </w:r>
      <w:r w:rsidRPr="008439E8">
        <w:rPr>
          <w:spacing w:val="-5"/>
        </w:rPr>
        <w:t xml:space="preserve"> </w:t>
      </w:r>
      <w:r w:rsidRPr="008439E8">
        <w:t>would</w:t>
      </w:r>
      <w:r w:rsidRPr="008439E8">
        <w:rPr>
          <w:spacing w:val="-5"/>
        </w:rPr>
        <w:t xml:space="preserve"> </w:t>
      </w:r>
      <w:r w:rsidRPr="008439E8">
        <w:t>require</w:t>
      </w:r>
      <w:r w:rsidRPr="008439E8">
        <w:rPr>
          <w:spacing w:val="-5"/>
        </w:rPr>
        <w:t xml:space="preserve"> </w:t>
      </w:r>
      <w:r w:rsidRPr="008439E8">
        <w:t>a</w:t>
      </w:r>
      <w:r w:rsidRPr="008439E8">
        <w:rPr>
          <w:spacing w:val="-5"/>
        </w:rPr>
        <w:t xml:space="preserve"> </w:t>
      </w:r>
      <w:r w:rsidRPr="008439E8">
        <w:t>sample</w:t>
      </w:r>
      <w:r w:rsidRPr="008439E8">
        <w:rPr>
          <w:spacing w:val="-5"/>
        </w:rPr>
        <w:t xml:space="preserve"> </w:t>
      </w:r>
      <w:r w:rsidRPr="008439E8">
        <w:t>size</w:t>
      </w:r>
      <w:r w:rsidRPr="008439E8">
        <w:rPr>
          <w:spacing w:val="-5"/>
        </w:rPr>
        <w:t xml:space="preserve"> </w:t>
      </w:r>
      <w:r w:rsidRPr="008439E8">
        <w:t>of</w:t>
      </w:r>
      <w:r w:rsidRPr="008439E8">
        <w:rPr>
          <w:spacing w:val="-5"/>
        </w:rPr>
        <w:t xml:space="preserve"> </w:t>
      </w:r>
      <w:r w:rsidRPr="008439E8">
        <w:t>19,000</w:t>
      </w:r>
      <w:r w:rsidRPr="008439E8">
        <w:rPr>
          <w:spacing w:val="-5"/>
        </w:rPr>
        <w:t xml:space="preserve"> </w:t>
      </w:r>
      <w:r w:rsidRPr="008439E8">
        <w:t xml:space="preserve">patients </w:t>
      </w:r>
      <w:r w:rsidRPr="008439E8">
        <w:rPr>
          <w:spacing w:val="-2"/>
        </w:rPr>
        <w:t>prescribe</w:t>
      </w:r>
      <w:r w:rsidRPr="008439E8">
        <w:t>d</w:t>
      </w:r>
      <w:r w:rsidRPr="008439E8">
        <w:rPr>
          <w:spacing w:val="-4"/>
        </w:rPr>
        <w:t xml:space="preserve"> </w:t>
      </w:r>
      <w:r w:rsidRPr="008439E8">
        <w:rPr>
          <w:spacing w:val="-2"/>
        </w:rPr>
        <w:t>sibutramin</w:t>
      </w:r>
      <w:r w:rsidRPr="008439E8">
        <w:t>e</w:t>
      </w:r>
      <w:r w:rsidRPr="008439E8">
        <w:rPr>
          <w:spacing w:val="-4"/>
        </w:rPr>
        <w:t xml:space="preserve"> </w:t>
      </w:r>
      <w:r w:rsidRPr="008439E8">
        <w:rPr>
          <w:spacing w:val="-2"/>
        </w:rPr>
        <w:t>an</w:t>
      </w:r>
      <w:r w:rsidRPr="008439E8">
        <w:t>d</w:t>
      </w:r>
      <w:r w:rsidRPr="008439E8">
        <w:rPr>
          <w:spacing w:val="-4"/>
        </w:rPr>
        <w:t xml:space="preserve"> </w:t>
      </w:r>
      <w:r w:rsidRPr="008439E8">
        <w:rPr>
          <w:spacing w:val="-2"/>
        </w:rPr>
        <w:t>58,00</w:t>
      </w:r>
      <w:r w:rsidRPr="008439E8">
        <w:t>0</w:t>
      </w:r>
      <w:r w:rsidRPr="008439E8">
        <w:rPr>
          <w:spacing w:val="-4"/>
        </w:rPr>
        <w:t xml:space="preserve"> </w:t>
      </w:r>
      <w:r w:rsidRPr="008439E8">
        <w:rPr>
          <w:spacing w:val="-2"/>
        </w:rPr>
        <w:t>patient</w:t>
      </w:r>
      <w:r w:rsidRPr="008439E8">
        <w:t>s</w:t>
      </w:r>
      <w:r w:rsidRPr="008439E8">
        <w:rPr>
          <w:spacing w:val="-4"/>
        </w:rPr>
        <w:t xml:space="preserve"> </w:t>
      </w:r>
      <w:r w:rsidRPr="008439E8">
        <w:rPr>
          <w:spacing w:val="-2"/>
        </w:rPr>
        <w:t>prescribe</w:t>
      </w:r>
      <w:r w:rsidRPr="008439E8">
        <w:t>d</w:t>
      </w:r>
      <w:r w:rsidRPr="008439E8">
        <w:rPr>
          <w:spacing w:val="-4"/>
        </w:rPr>
        <w:t xml:space="preserve"> </w:t>
      </w:r>
      <w:r w:rsidRPr="008439E8">
        <w:rPr>
          <w:spacing w:val="-2"/>
        </w:rPr>
        <w:t xml:space="preserve">orlistat (with a 1:3 exposed to unexposed ratio). A preliminary analysis revealed </w:t>
      </w:r>
      <w:r w:rsidRPr="008439E8">
        <w:rPr>
          <w:rFonts w:cs="Arial"/>
          <w:szCs w:val="22"/>
        </w:rPr>
        <w:t>23 927 (23.70%) were exposed to sibutramine and 77 047 to orlistat.</w:t>
      </w:r>
      <w:r w:rsidRPr="008439E8">
        <w:t xml:space="preserve"> Given these numbers</w:t>
      </w:r>
      <w:r w:rsidRPr="008439E8">
        <w:rPr>
          <w:spacing w:val="-6"/>
        </w:rPr>
        <w:t xml:space="preserve"> </w:t>
      </w:r>
      <w:r w:rsidRPr="008439E8">
        <w:t>and the predicted number of events, there should</w:t>
      </w:r>
      <w:r w:rsidRPr="008439E8">
        <w:rPr>
          <w:spacing w:val="-6"/>
        </w:rPr>
        <w:t xml:space="preserve"> </w:t>
      </w:r>
      <w:r w:rsidRPr="008439E8">
        <w:t>be</w:t>
      </w:r>
      <w:r w:rsidRPr="008439E8">
        <w:rPr>
          <w:spacing w:val="-6"/>
        </w:rPr>
        <w:t xml:space="preserve"> </w:t>
      </w:r>
      <w:r w:rsidRPr="008439E8">
        <w:t>ample</w:t>
      </w:r>
      <w:r w:rsidRPr="008439E8">
        <w:rPr>
          <w:spacing w:val="-6"/>
        </w:rPr>
        <w:t xml:space="preserve"> </w:t>
      </w:r>
      <w:r w:rsidRPr="008439E8">
        <w:t>power</w:t>
      </w:r>
      <w:r w:rsidRPr="008439E8">
        <w:rPr>
          <w:spacing w:val="-6"/>
        </w:rPr>
        <w:t xml:space="preserve"> </w:t>
      </w:r>
      <w:r w:rsidRPr="008439E8">
        <w:t>to</w:t>
      </w:r>
      <w:r w:rsidRPr="008439E8">
        <w:rPr>
          <w:spacing w:val="-6"/>
        </w:rPr>
        <w:t xml:space="preserve"> </w:t>
      </w:r>
      <w:r w:rsidRPr="008439E8">
        <w:t>explore</w:t>
      </w:r>
      <w:r w:rsidRPr="008439E8">
        <w:rPr>
          <w:spacing w:val="-6"/>
        </w:rPr>
        <w:t xml:space="preserve"> </w:t>
      </w:r>
      <w:r w:rsidRPr="008439E8">
        <w:t>the</w:t>
      </w:r>
      <w:r w:rsidRPr="008439E8">
        <w:rPr>
          <w:spacing w:val="-6"/>
        </w:rPr>
        <w:t xml:space="preserve"> </w:t>
      </w:r>
      <w:r w:rsidRPr="008439E8">
        <w:t>main</w:t>
      </w:r>
      <w:r w:rsidRPr="008439E8">
        <w:rPr>
          <w:spacing w:val="-6"/>
        </w:rPr>
        <w:t xml:space="preserve"> </w:t>
      </w:r>
      <w:r w:rsidRPr="008439E8">
        <w:t>hypothesis</w:t>
      </w:r>
      <w:r w:rsidRPr="008439E8">
        <w:rPr>
          <w:spacing w:val="-6"/>
        </w:rPr>
        <w:t>.</w:t>
      </w:r>
    </w:p>
    <w:p w:rsidR="00402183" w:rsidRPr="008439E8" w:rsidRDefault="00402183" w:rsidP="00402183">
      <w:pPr>
        <w:spacing w:after="0" w:line="480" w:lineRule="auto"/>
        <w:rPr>
          <w:rFonts w:cs="Arial"/>
          <w:szCs w:val="22"/>
        </w:rPr>
      </w:pPr>
    </w:p>
    <w:p w:rsidR="00263078" w:rsidRPr="008439E8" w:rsidRDefault="00263078" w:rsidP="00EF34D5">
      <w:pPr>
        <w:pStyle w:val="Heading3"/>
        <w:spacing w:before="0" w:after="0" w:line="480" w:lineRule="auto"/>
        <w:rPr>
          <w:rFonts w:ascii="Arial" w:hAnsi="Arial" w:cs="Arial"/>
          <w:b/>
          <w:color w:val="auto"/>
          <w:sz w:val="22"/>
          <w:szCs w:val="22"/>
        </w:rPr>
      </w:pPr>
      <w:bookmarkStart w:id="9" w:name="_Toc395780038"/>
      <w:r w:rsidRPr="008439E8">
        <w:rPr>
          <w:rFonts w:ascii="Arial" w:hAnsi="Arial" w:cs="Arial"/>
          <w:b/>
          <w:color w:val="auto"/>
          <w:sz w:val="22"/>
          <w:szCs w:val="22"/>
        </w:rPr>
        <w:t>Statistical Analysis</w:t>
      </w:r>
      <w:bookmarkEnd w:id="9"/>
    </w:p>
    <w:p w:rsidR="00263078" w:rsidRPr="008439E8" w:rsidRDefault="00263078" w:rsidP="00EF34D5">
      <w:pPr>
        <w:spacing w:after="0" w:line="480" w:lineRule="auto"/>
        <w:rPr>
          <w:rFonts w:cs="Arial"/>
          <w:szCs w:val="22"/>
        </w:rPr>
      </w:pPr>
      <w:r w:rsidRPr="008439E8">
        <w:rPr>
          <w:rFonts w:cs="Arial"/>
          <w:szCs w:val="22"/>
        </w:rPr>
        <w:t>A multivariable Cox model was constructed to assess the association between sibutramine and both outcomes (MI/CVE, all-cause mortality) controlled for all other covariates considered, and adjusted for clustering within GP surgeries. Wald tests were used to calculate P-values for multivariable models. These results were compared with a propensity score (PS) analysis. A PS is a measure of the probability that a patient will receive a particular treatment and is calculated from the observed risk factors for the outcome and for receiving the treatment</w:t>
      </w:r>
      <w:r w:rsidR="00ED6215" w:rsidRPr="008439E8">
        <w:rPr>
          <w:rFonts w:cs="Arial"/>
          <w:szCs w:val="22"/>
        </w:rPr>
        <w:t>.</w:t>
      </w:r>
      <w:r w:rsidRPr="008439E8">
        <w:rPr>
          <w:rFonts w:cs="Arial"/>
          <w:noProof/>
          <w:szCs w:val="22"/>
          <w:vertAlign w:val="superscript"/>
        </w:rPr>
        <w:t>19</w:t>
      </w:r>
      <w:r w:rsidRPr="008439E8">
        <w:rPr>
          <w:rFonts w:cs="Arial"/>
          <w:szCs w:val="22"/>
        </w:rPr>
        <w:t xml:space="preserve"> This approach is therefore one possible solution to the problem of confounding by indication in observational studies. Covariates were included in the </w:t>
      </w:r>
      <w:r w:rsidRPr="008439E8">
        <w:rPr>
          <w:rFonts w:cs="Arial"/>
          <w:szCs w:val="22"/>
        </w:rPr>
        <w:lastRenderedPageBreak/>
        <w:t>propensity score if they did not introduce multicollinearity in the logistic regression model predicting treatment allocation. The PS was included in a Cox regression model as a continuous variable.</w:t>
      </w:r>
    </w:p>
    <w:p w:rsidR="00263078" w:rsidRPr="008439E8" w:rsidRDefault="00263078" w:rsidP="00EF34D5">
      <w:pPr>
        <w:spacing w:after="0" w:line="480" w:lineRule="auto"/>
        <w:rPr>
          <w:rFonts w:cs="Arial"/>
          <w:szCs w:val="22"/>
        </w:rPr>
      </w:pPr>
    </w:p>
    <w:p w:rsidR="00263078" w:rsidRPr="008439E8" w:rsidRDefault="00263078" w:rsidP="00EF34D5">
      <w:pPr>
        <w:pStyle w:val="Heading4"/>
        <w:spacing w:before="0" w:line="480" w:lineRule="auto"/>
        <w:rPr>
          <w:rFonts w:ascii="Arial" w:hAnsi="Arial" w:cs="Arial"/>
          <w:b/>
          <w:color w:val="auto"/>
          <w:sz w:val="22"/>
          <w:szCs w:val="22"/>
        </w:rPr>
      </w:pPr>
      <w:r w:rsidRPr="008439E8">
        <w:rPr>
          <w:rFonts w:ascii="Arial" w:hAnsi="Arial" w:cs="Arial"/>
          <w:b/>
          <w:color w:val="auto"/>
          <w:sz w:val="22"/>
          <w:szCs w:val="22"/>
        </w:rPr>
        <w:t xml:space="preserve">Subgroup analysis </w:t>
      </w:r>
    </w:p>
    <w:p w:rsidR="00263078" w:rsidRPr="008439E8" w:rsidRDefault="00263078" w:rsidP="00EF34D5">
      <w:pPr>
        <w:spacing w:after="0" w:line="480" w:lineRule="auto"/>
        <w:rPr>
          <w:rFonts w:cs="Arial"/>
          <w:szCs w:val="22"/>
        </w:rPr>
      </w:pPr>
      <w:r w:rsidRPr="008439E8">
        <w:rPr>
          <w:rFonts w:cs="Arial"/>
          <w:szCs w:val="22"/>
        </w:rPr>
        <w:t xml:space="preserve">Two subgroups were defined </w:t>
      </w:r>
      <w:r w:rsidRPr="008439E8">
        <w:rPr>
          <w:rFonts w:cs="Arial"/>
          <w:i/>
          <w:szCs w:val="22"/>
        </w:rPr>
        <w:t>a priori</w:t>
      </w:r>
      <w:r w:rsidRPr="008439E8">
        <w:rPr>
          <w:rFonts w:cs="Arial"/>
          <w:szCs w:val="22"/>
        </w:rPr>
        <w:t xml:space="preserve"> based on the analysis of SCOUT; patients with pre-existing cardiovascular disease (7</w:t>
      </w:r>
      <w:r w:rsidR="00ED6215" w:rsidRPr="008439E8">
        <w:rPr>
          <w:rFonts w:cs="Arial"/>
          <w:szCs w:val="22"/>
        </w:rPr>
        <w:t xml:space="preserve"> </w:t>
      </w:r>
      <w:r w:rsidRPr="008439E8">
        <w:rPr>
          <w:rFonts w:cs="Arial"/>
          <w:szCs w:val="22"/>
        </w:rPr>
        <w:t>761 individuals) and patients with T2D plus at least one other cardiovascular risk factor (i.e. hypertension, statin use, current smoking) (15</w:t>
      </w:r>
      <w:r w:rsidR="00ED6215" w:rsidRPr="008439E8">
        <w:rPr>
          <w:rFonts w:cs="Arial"/>
          <w:szCs w:val="22"/>
        </w:rPr>
        <w:t xml:space="preserve"> </w:t>
      </w:r>
      <w:r w:rsidRPr="008439E8">
        <w:rPr>
          <w:rFonts w:cs="Arial"/>
          <w:szCs w:val="22"/>
        </w:rPr>
        <w:t>455 individuals). Effect modification because of possible interaction between sibutramine prescribing and existing cardiovascular disease or T2D plus other cardiac risk factors was examined using the PS adjusted model.</w:t>
      </w:r>
    </w:p>
    <w:p w:rsidR="00ED6215" w:rsidRPr="008439E8" w:rsidRDefault="00ED6215" w:rsidP="00EF34D5">
      <w:pPr>
        <w:spacing w:after="0" w:line="480" w:lineRule="auto"/>
        <w:rPr>
          <w:rFonts w:cs="Arial"/>
          <w:szCs w:val="22"/>
        </w:rPr>
      </w:pPr>
    </w:p>
    <w:p w:rsidR="00263078" w:rsidRPr="008439E8" w:rsidRDefault="00263078" w:rsidP="00EF34D5">
      <w:pPr>
        <w:spacing w:after="0" w:line="480" w:lineRule="auto"/>
        <w:rPr>
          <w:rFonts w:cs="Arial"/>
          <w:szCs w:val="22"/>
        </w:rPr>
      </w:pPr>
      <w:r w:rsidRPr="008439E8">
        <w:rPr>
          <w:rFonts w:cs="Arial"/>
          <w:szCs w:val="22"/>
        </w:rPr>
        <w:t>If there were differences between subgroups these were presented as number needed to harm (NNH). NNH was calculated from the estimated survivor function generated from the PS adjusted Cox regression model</w:t>
      </w:r>
      <w:r w:rsidR="00ED6215" w:rsidRPr="008439E8">
        <w:rPr>
          <w:rFonts w:cs="Arial"/>
          <w:szCs w:val="22"/>
        </w:rPr>
        <w:t>.</w:t>
      </w:r>
      <w:r w:rsidRPr="008439E8">
        <w:rPr>
          <w:rFonts w:cs="Arial"/>
          <w:noProof/>
          <w:szCs w:val="22"/>
          <w:vertAlign w:val="superscript"/>
        </w:rPr>
        <w:t>20</w:t>
      </w:r>
      <w:r w:rsidRPr="008439E8">
        <w:rPr>
          <w:rFonts w:cs="Arial"/>
          <w:szCs w:val="22"/>
        </w:rPr>
        <w:t xml:space="preserve">  </w:t>
      </w:r>
    </w:p>
    <w:p w:rsidR="00263078" w:rsidRPr="008439E8" w:rsidRDefault="00263078" w:rsidP="00EF34D5">
      <w:pPr>
        <w:spacing w:after="0" w:line="480" w:lineRule="auto"/>
        <w:rPr>
          <w:rFonts w:cs="Arial"/>
          <w:szCs w:val="22"/>
        </w:rPr>
      </w:pPr>
    </w:p>
    <w:p w:rsidR="00263078" w:rsidRPr="008439E8" w:rsidRDefault="00263078" w:rsidP="00EF34D5">
      <w:pPr>
        <w:pStyle w:val="Heading4"/>
        <w:spacing w:before="0" w:line="480" w:lineRule="auto"/>
        <w:rPr>
          <w:rFonts w:ascii="Arial" w:hAnsi="Arial" w:cs="Arial"/>
          <w:b/>
          <w:color w:val="auto"/>
          <w:sz w:val="22"/>
          <w:szCs w:val="22"/>
        </w:rPr>
      </w:pPr>
      <w:r w:rsidRPr="008439E8">
        <w:rPr>
          <w:rFonts w:ascii="Arial" w:hAnsi="Arial" w:cs="Arial"/>
          <w:b/>
          <w:color w:val="auto"/>
          <w:sz w:val="22"/>
          <w:szCs w:val="22"/>
        </w:rPr>
        <w:t>Model checking and sensitivity analysis</w:t>
      </w:r>
    </w:p>
    <w:p w:rsidR="00263078" w:rsidRPr="008439E8" w:rsidRDefault="00263078" w:rsidP="00EF34D5">
      <w:pPr>
        <w:spacing w:after="0" w:line="480" w:lineRule="auto"/>
        <w:rPr>
          <w:rFonts w:cs="Arial"/>
          <w:szCs w:val="22"/>
        </w:rPr>
      </w:pPr>
      <w:r w:rsidRPr="008439E8">
        <w:rPr>
          <w:rFonts w:cs="Arial"/>
          <w:szCs w:val="22"/>
        </w:rPr>
        <w:t>Assumption of proportional hazards was checked by producing Aalen plots and testing whether hazard ratios varied over different intervals of time.</w:t>
      </w:r>
      <w:r w:rsidR="00C633C6" w:rsidRPr="008439E8">
        <w:rPr>
          <w:rFonts w:cs="Arial"/>
          <w:szCs w:val="22"/>
        </w:rPr>
        <w:t xml:space="preserve"> A number of s</w:t>
      </w:r>
      <w:r w:rsidRPr="008439E8">
        <w:rPr>
          <w:rFonts w:cs="Arial"/>
          <w:szCs w:val="22"/>
        </w:rPr>
        <w:t>ensit</w:t>
      </w:r>
      <w:r w:rsidR="00C633C6" w:rsidRPr="008439E8">
        <w:rPr>
          <w:rFonts w:cs="Arial"/>
          <w:szCs w:val="22"/>
        </w:rPr>
        <w:t>ivity analyses were completed 1)</w:t>
      </w:r>
      <w:r w:rsidRPr="008439E8">
        <w:rPr>
          <w:rFonts w:cs="Arial"/>
          <w:szCs w:val="22"/>
        </w:rPr>
        <w:t xml:space="preserve"> PS 1:1 matching, rather than using the score directly in the regression model</w:t>
      </w:r>
      <w:r w:rsidR="00C633C6" w:rsidRPr="008439E8">
        <w:rPr>
          <w:rFonts w:cs="Arial"/>
          <w:szCs w:val="22"/>
        </w:rPr>
        <w:t>; 2) censoring all patients prescribed orlistat at the date of sibutramine withdrawal (2010)</w:t>
      </w:r>
      <w:r w:rsidRPr="008439E8">
        <w:rPr>
          <w:rFonts w:cs="Arial"/>
          <w:szCs w:val="22"/>
        </w:rPr>
        <w:t xml:space="preserve"> and</w:t>
      </w:r>
      <w:r w:rsidR="00C633C6" w:rsidRPr="008439E8">
        <w:rPr>
          <w:rFonts w:cs="Arial"/>
          <w:szCs w:val="22"/>
        </w:rPr>
        <w:t>; 3)</w:t>
      </w:r>
      <w:r w:rsidRPr="008439E8">
        <w:rPr>
          <w:rFonts w:cs="Arial"/>
          <w:szCs w:val="22"/>
        </w:rPr>
        <w:t xml:space="preserve"> assuming that the possible delayed effects of sibutramine lasted 15 days after the final dose, rather than 60 days.</w:t>
      </w:r>
    </w:p>
    <w:p w:rsidR="00263078" w:rsidRPr="008439E8" w:rsidRDefault="00263078" w:rsidP="00EF34D5">
      <w:pPr>
        <w:spacing w:after="0" w:line="480" w:lineRule="auto"/>
        <w:rPr>
          <w:rFonts w:cs="Arial"/>
          <w:szCs w:val="22"/>
        </w:rPr>
      </w:pPr>
    </w:p>
    <w:p w:rsidR="00263078" w:rsidRPr="008439E8" w:rsidRDefault="00263078" w:rsidP="00EF34D5">
      <w:pPr>
        <w:spacing w:after="0" w:line="480" w:lineRule="auto"/>
        <w:rPr>
          <w:rFonts w:cs="Arial"/>
          <w:szCs w:val="22"/>
        </w:rPr>
      </w:pPr>
      <w:r w:rsidRPr="008439E8">
        <w:rPr>
          <w:rFonts w:cs="Arial"/>
          <w:szCs w:val="22"/>
        </w:rPr>
        <w:t>All analysis was carried out using Stata® version 13</w:t>
      </w:r>
      <w:r w:rsidR="00ED6215" w:rsidRPr="008439E8">
        <w:rPr>
          <w:rFonts w:cs="Arial"/>
          <w:szCs w:val="22"/>
        </w:rPr>
        <w:t>.</w:t>
      </w:r>
      <w:r w:rsidRPr="008439E8">
        <w:rPr>
          <w:rFonts w:cs="Arial"/>
          <w:noProof/>
          <w:szCs w:val="22"/>
          <w:vertAlign w:val="superscript"/>
        </w:rPr>
        <w:t>21</w:t>
      </w:r>
    </w:p>
    <w:p w:rsidR="00263078" w:rsidRPr="008439E8" w:rsidRDefault="00263078" w:rsidP="00EF34D5">
      <w:pPr>
        <w:spacing w:after="0" w:line="480" w:lineRule="auto"/>
        <w:rPr>
          <w:rFonts w:cs="Arial"/>
          <w:szCs w:val="22"/>
        </w:rPr>
      </w:pPr>
    </w:p>
    <w:p w:rsidR="00263078" w:rsidRPr="008439E8" w:rsidRDefault="00263078" w:rsidP="00EF34D5">
      <w:pPr>
        <w:pStyle w:val="Heading3"/>
        <w:spacing w:before="0" w:after="0" w:line="480" w:lineRule="auto"/>
        <w:rPr>
          <w:rFonts w:ascii="Arial" w:hAnsi="Arial" w:cs="Arial"/>
          <w:b/>
          <w:color w:val="auto"/>
          <w:sz w:val="22"/>
          <w:szCs w:val="22"/>
        </w:rPr>
      </w:pPr>
      <w:r w:rsidRPr="008439E8">
        <w:rPr>
          <w:rFonts w:ascii="Arial" w:hAnsi="Arial" w:cs="Arial"/>
          <w:b/>
          <w:color w:val="auto"/>
          <w:sz w:val="22"/>
          <w:szCs w:val="22"/>
        </w:rPr>
        <w:lastRenderedPageBreak/>
        <w:t xml:space="preserve">Ethical approval </w:t>
      </w:r>
    </w:p>
    <w:p w:rsidR="00263078" w:rsidRPr="008439E8" w:rsidRDefault="00263078" w:rsidP="00EF34D5">
      <w:pPr>
        <w:spacing w:after="0" w:line="480" w:lineRule="auto"/>
        <w:rPr>
          <w:rFonts w:cs="Arial"/>
          <w:szCs w:val="22"/>
        </w:rPr>
      </w:pPr>
      <w:r w:rsidRPr="008439E8">
        <w:rPr>
          <w:rFonts w:cs="Arial"/>
          <w:szCs w:val="22"/>
        </w:rPr>
        <w:t>Ethical approval for this study was obtained from the London School of Hygiene &amp; Tropical Medicine Ethics Committee and scientific approval was gained from the Independent Scientific Advisory Committee for Medicines and Healthcare products Regulatory Agency.</w:t>
      </w:r>
    </w:p>
    <w:p w:rsidR="00263078" w:rsidRPr="008439E8" w:rsidRDefault="00263078" w:rsidP="00EF34D5">
      <w:pPr>
        <w:spacing w:after="0" w:line="480" w:lineRule="auto"/>
        <w:rPr>
          <w:rFonts w:cs="Arial"/>
          <w:szCs w:val="22"/>
        </w:rPr>
      </w:pPr>
    </w:p>
    <w:p w:rsidR="00263078" w:rsidRPr="008439E8" w:rsidRDefault="00263078" w:rsidP="00EF34D5">
      <w:pPr>
        <w:pStyle w:val="Heading1"/>
        <w:spacing w:before="0" w:after="0" w:line="480" w:lineRule="auto"/>
        <w:rPr>
          <w:rFonts w:ascii="Arial" w:hAnsi="Arial" w:cs="Arial"/>
          <w:szCs w:val="36"/>
        </w:rPr>
      </w:pPr>
      <w:bookmarkStart w:id="10" w:name="_Toc395780039"/>
      <w:r w:rsidRPr="008439E8">
        <w:rPr>
          <w:rFonts w:ascii="Arial" w:hAnsi="Arial" w:cs="Arial"/>
          <w:szCs w:val="36"/>
        </w:rPr>
        <w:t>Results</w:t>
      </w:r>
      <w:bookmarkEnd w:id="10"/>
    </w:p>
    <w:p w:rsidR="00263078" w:rsidRPr="008439E8" w:rsidRDefault="00263078" w:rsidP="00EF34D5">
      <w:pPr>
        <w:pStyle w:val="Heading2"/>
        <w:spacing w:before="0" w:line="480" w:lineRule="auto"/>
        <w:rPr>
          <w:rFonts w:ascii="Arial" w:hAnsi="Arial" w:cs="Arial"/>
          <w:b/>
          <w:color w:val="auto"/>
          <w:sz w:val="22"/>
          <w:szCs w:val="22"/>
        </w:rPr>
      </w:pPr>
      <w:bookmarkStart w:id="11" w:name="_Toc395780040"/>
      <w:r w:rsidRPr="008439E8">
        <w:rPr>
          <w:rFonts w:ascii="Arial" w:hAnsi="Arial" w:cs="Arial"/>
          <w:b/>
          <w:color w:val="auto"/>
          <w:sz w:val="22"/>
          <w:szCs w:val="22"/>
        </w:rPr>
        <w:t>Patient characteristics</w:t>
      </w:r>
      <w:bookmarkEnd w:id="11"/>
    </w:p>
    <w:p w:rsidR="00263078" w:rsidRPr="008439E8" w:rsidRDefault="00263078" w:rsidP="00EF34D5">
      <w:pPr>
        <w:spacing w:after="0" w:line="480" w:lineRule="auto"/>
        <w:rPr>
          <w:rFonts w:cs="Arial"/>
          <w:szCs w:val="22"/>
        </w:rPr>
      </w:pPr>
      <w:r w:rsidRPr="008439E8">
        <w:rPr>
          <w:rFonts w:cs="Arial"/>
          <w:szCs w:val="22"/>
        </w:rPr>
        <w:t>In total, 100</w:t>
      </w:r>
      <w:r w:rsidR="00ED6215" w:rsidRPr="008439E8">
        <w:rPr>
          <w:rFonts w:cs="Arial"/>
          <w:szCs w:val="22"/>
        </w:rPr>
        <w:t xml:space="preserve"> </w:t>
      </w:r>
      <w:r w:rsidRPr="008439E8">
        <w:rPr>
          <w:rFonts w:cs="Arial"/>
          <w:szCs w:val="22"/>
        </w:rPr>
        <w:t>974 individuals were included in the analysis, 23</w:t>
      </w:r>
      <w:r w:rsidR="00ED6215" w:rsidRPr="008439E8">
        <w:rPr>
          <w:rFonts w:cs="Arial"/>
          <w:szCs w:val="22"/>
        </w:rPr>
        <w:t xml:space="preserve"> </w:t>
      </w:r>
      <w:r w:rsidRPr="008439E8">
        <w:rPr>
          <w:rFonts w:cs="Arial"/>
          <w:szCs w:val="22"/>
        </w:rPr>
        <w:t>927 (23.70%) were exposed to sibutramine and 77</w:t>
      </w:r>
      <w:r w:rsidR="00ED6215" w:rsidRPr="008439E8">
        <w:rPr>
          <w:rFonts w:cs="Arial"/>
          <w:szCs w:val="22"/>
        </w:rPr>
        <w:t xml:space="preserve"> </w:t>
      </w:r>
      <w:r w:rsidRPr="008439E8">
        <w:rPr>
          <w:rFonts w:cs="Arial"/>
          <w:szCs w:val="22"/>
        </w:rPr>
        <w:t>047 to orlistat. Median age was 46.09 years (interquartile range (IQR) 36.42-56.66) median BMI was 36.36</w:t>
      </w:r>
      <w:r w:rsidR="00ED6215" w:rsidRPr="008439E8">
        <w:rPr>
          <w:rFonts w:cs="Arial"/>
          <w:szCs w:val="22"/>
        </w:rPr>
        <w:t xml:space="preserve"> kg </w:t>
      </w:r>
      <w:r w:rsidRPr="008439E8">
        <w:rPr>
          <w:rFonts w:cs="Arial"/>
          <w:szCs w:val="22"/>
        </w:rPr>
        <w:t>m</w:t>
      </w:r>
      <w:r w:rsidR="00ED6215" w:rsidRPr="008439E8">
        <w:rPr>
          <w:rFonts w:cs="Arial"/>
          <w:szCs w:val="22"/>
          <w:vertAlign w:val="superscript"/>
        </w:rPr>
        <w:t>-</w:t>
      </w:r>
      <w:r w:rsidRPr="008439E8">
        <w:rPr>
          <w:rFonts w:cs="Arial"/>
          <w:szCs w:val="22"/>
          <w:vertAlign w:val="superscript"/>
        </w:rPr>
        <w:t>2</w:t>
      </w:r>
      <w:r w:rsidRPr="008439E8">
        <w:rPr>
          <w:rFonts w:cs="Arial"/>
          <w:szCs w:val="22"/>
        </w:rPr>
        <w:t xml:space="preserve"> (IQR 32.83-40.91). Patients prescribed sibutramine were more likely to be female (82% </w:t>
      </w:r>
      <w:r w:rsidRPr="008439E8">
        <w:rPr>
          <w:rFonts w:cs="Arial"/>
          <w:i/>
          <w:szCs w:val="22"/>
        </w:rPr>
        <w:t>vs</w:t>
      </w:r>
      <w:r w:rsidRPr="008439E8">
        <w:rPr>
          <w:rFonts w:cs="Arial"/>
          <w:szCs w:val="22"/>
        </w:rPr>
        <w:t xml:space="preserve">. 76%), to take the medication for less time (0.39 years </w:t>
      </w:r>
      <w:r w:rsidRPr="008439E8">
        <w:rPr>
          <w:rFonts w:cs="Arial"/>
          <w:i/>
          <w:szCs w:val="22"/>
        </w:rPr>
        <w:t>vs.</w:t>
      </w:r>
      <w:r w:rsidRPr="008439E8">
        <w:rPr>
          <w:rFonts w:cs="Arial"/>
          <w:szCs w:val="22"/>
        </w:rPr>
        <w:t xml:space="preserve"> 0.47 years) and not have cardiovascular risk factors (Table 1).  </w:t>
      </w:r>
    </w:p>
    <w:p w:rsidR="00ED6215" w:rsidRPr="008439E8" w:rsidRDefault="00ED6215" w:rsidP="00EF34D5">
      <w:pPr>
        <w:spacing w:after="0" w:line="480" w:lineRule="auto"/>
        <w:rPr>
          <w:rFonts w:cs="Arial"/>
          <w:szCs w:val="22"/>
        </w:rPr>
      </w:pPr>
    </w:p>
    <w:p w:rsidR="00263078" w:rsidRPr="008439E8" w:rsidRDefault="00263078" w:rsidP="00EF34D5">
      <w:pPr>
        <w:pStyle w:val="Heading2"/>
        <w:spacing w:before="0" w:line="480" w:lineRule="auto"/>
        <w:rPr>
          <w:rFonts w:ascii="Arial" w:hAnsi="Arial" w:cs="Arial"/>
          <w:b/>
          <w:color w:val="auto"/>
          <w:sz w:val="22"/>
          <w:szCs w:val="22"/>
        </w:rPr>
      </w:pPr>
      <w:bookmarkStart w:id="12" w:name="_Toc395780041"/>
      <w:r w:rsidRPr="008439E8">
        <w:rPr>
          <w:rFonts w:ascii="Arial" w:hAnsi="Arial" w:cs="Arial"/>
          <w:b/>
          <w:color w:val="auto"/>
          <w:sz w:val="22"/>
          <w:szCs w:val="22"/>
        </w:rPr>
        <w:t>Rate of incident MI or CVE</w:t>
      </w:r>
      <w:bookmarkEnd w:id="12"/>
    </w:p>
    <w:p w:rsidR="00263078" w:rsidRPr="008439E8" w:rsidRDefault="00263078" w:rsidP="00EF34D5">
      <w:pPr>
        <w:spacing w:after="0" w:line="480" w:lineRule="auto"/>
        <w:rPr>
          <w:rFonts w:cs="Arial"/>
          <w:szCs w:val="22"/>
        </w:rPr>
      </w:pPr>
      <w:r w:rsidRPr="008439E8">
        <w:rPr>
          <w:rFonts w:cs="Arial"/>
          <w:szCs w:val="22"/>
        </w:rPr>
        <w:t>There were 254 incident MI/CVEs in the cohort; 34 in 0.126 per 100,000 person-years at risk (10</w:t>
      </w:r>
      <w:r w:rsidRPr="008439E8">
        <w:rPr>
          <w:rFonts w:cs="Arial"/>
          <w:szCs w:val="22"/>
          <w:vertAlign w:val="superscript"/>
        </w:rPr>
        <w:t xml:space="preserve">5 </w:t>
      </w:r>
      <w:r w:rsidRPr="008439E8">
        <w:rPr>
          <w:rFonts w:cs="Arial"/>
          <w:szCs w:val="22"/>
        </w:rPr>
        <w:t>PYAR) in patients exposed to sibutramine and 220 in 1.092 per 10</w:t>
      </w:r>
      <w:r w:rsidRPr="008439E8">
        <w:rPr>
          <w:rFonts w:cs="Arial"/>
          <w:szCs w:val="22"/>
          <w:vertAlign w:val="superscript"/>
        </w:rPr>
        <w:t>5</w:t>
      </w:r>
      <w:r w:rsidRPr="008439E8">
        <w:rPr>
          <w:rFonts w:cs="Arial"/>
          <w:szCs w:val="22"/>
        </w:rPr>
        <w:t xml:space="preserve"> PYAR in the orlistat group. In those exposed to sibutramine the rate of MI/CVE was 269.39.12 per 10</w:t>
      </w:r>
      <w:r w:rsidRPr="008439E8">
        <w:rPr>
          <w:rFonts w:cs="Arial"/>
          <w:szCs w:val="22"/>
          <w:vertAlign w:val="superscript"/>
        </w:rPr>
        <w:t xml:space="preserve">5 </w:t>
      </w:r>
      <w:r w:rsidRPr="008439E8">
        <w:rPr>
          <w:rFonts w:cs="Arial"/>
          <w:szCs w:val="22"/>
        </w:rPr>
        <w:t>PYAR (95% CI 194.39-384.68). This was not different from those unexposed (crude hazard ratio (HR) 1.19, 95%CI 0.80-1.76, P=0.39).</w:t>
      </w:r>
    </w:p>
    <w:p w:rsidR="00263078" w:rsidRPr="008439E8" w:rsidRDefault="00263078" w:rsidP="00EF34D5">
      <w:pPr>
        <w:spacing w:after="0" w:line="480" w:lineRule="auto"/>
        <w:rPr>
          <w:rFonts w:cs="Arial"/>
          <w:szCs w:val="22"/>
        </w:rPr>
      </w:pPr>
    </w:p>
    <w:p w:rsidR="00263078" w:rsidRPr="008439E8" w:rsidRDefault="00263078" w:rsidP="00EF34D5">
      <w:pPr>
        <w:spacing w:after="0" w:line="480" w:lineRule="auto"/>
        <w:rPr>
          <w:rFonts w:cs="Arial"/>
          <w:szCs w:val="22"/>
        </w:rPr>
      </w:pPr>
      <w:r w:rsidRPr="008439E8">
        <w:rPr>
          <w:rFonts w:cs="Arial"/>
          <w:szCs w:val="22"/>
        </w:rPr>
        <w:t xml:space="preserve">The fully adjusted model accounting for age, sex, BMI, smoking status, alcohol use, cardiovascular disease, T2D and hypertension, as well as clustering by GP surgery gave a hazard ratio of 1.65 (95%CI 1.08-2.51, P=0.018). The propensity scores were similar for both </w:t>
      </w:r>
      <w:r w:rsidR="00B17BBF" w:rsidRPr="008439E8">
        <w:rPr>
          <w:rFonts w:cs="Arial"/>
          <w:szCs w:val="22"/>
        </w:rPr>
        <w:t>sibutramine</w:t>
      </w:r>
      <w:r w:rsidRPr="008439E8">
        <w:rPr>
          <w:rFonts w:cs="Arial"/>
          <w:szCs w:val="22"/>
        </w:rPr>
        <w:t xml:space="preserve"> (median 0.26, IQR 0.22-0.28) and </w:t>
      </w:r>
      <w:r w:rsidR="00B17BBF" w:rsidRPr="008439E8">
        <w:rPr>
          <w:rFonts w:cs="Arial"/>
          <w:szCs w:val="22"/>
        </w:rPr>
        <w:t>orlistat</w:t>
      </w:r>
      <w:r w:rsidRPr="008439E8">
        <w:rPr>
          <w:rFonts w:cs="Arial"/>
          <w:szCs w:val="22"/>
        </w:rPr>
        <w:t xml:space="preserve"> groups (median 0.24, IQR 0.20-0.28) (Appendix 1). The model adjusting for PS showed a similar hazard ratio to the fully adjusted model (HR 1.69, 95%CI 1.13-2.54, P=0.011) (Table 2). There was evidence that the effect was stro</w:t>
      </w:r>
      <w:r w:rsidR="00ED6215" w:rsidRPr="008439E8">
        <w:rPr>
          <w:rFonts w:cs="Arial"/>
          <w:szCs w:val="22"/>
        </w:rPr>
        <w:t>nger in people with concurrent cardiovascular disease</w:t>
      </w:r>
      <w:r w:rsidRPr="008439E8">
        <w:rPr>
          <w:rFonts w:cs="Arial"/>
          <w:szCs w:val="22"/>
        </w:rPr>
        <w:t xml:space="preserve"> (HR 4.37, 95% CI </w:t>
      </w:r>
      <w:r w:rsidRPr="008439E8">
        <w:rPr>
          <w:rFonts w:cs="Arial"/>
          <w:szCs w:val="22"/>
        </w:rPr>
        <w:lastRenderedPageBreak/>
        <w:t>2.21-8.64) than those without (HR 1.52, 95% CI 0.92-2.48, p-interaction = 0.0076). There was no evidence that the effect differed by T2D plus one other cardiac risk factor (i.e. hypertension, statin use, current smoking) status (</w:t>
      </w:r>
      <w:r w:rsidRPr="008439E8">
        <w:rPr>
          <w:rFonts w:cs="Arial"/>
          <w:color w:val="808080" w:themeColor="background1" w:themeShade="80"/>
          <w:szCs w:val="22"/>
        </w:rPr>
        <w:t>Table 2, Figure 1</w:t>
      </w:r>
      <w:r w:rsidRPr="008439E8">
        <w:rPr>
          <w:rFonts w:cs="Arial"/>
          <w:szCs w:val="22"/>
        </w:rPr>
        <w:t xml:space="preserve">). </w:t>
      </w:r>
    </w:p>
    <w:p w:rsidR="00263078" w:rsidRPr="008439E8" w:rsidRDefault="00263078" w:rsidP="00EF34D5">
      <w:pPr>
        <w:spacing w:after="0" w:line="480" w:lineRule="auto"/>
        <w:rPr>
          <w:rFonts w:cs="Arial"/>
          <w:szCs w:val="22"/>
        </w:rPr>
      </w:pPr>
    </w:p>
    <w:p w:rsidR="00263078" w:rsidRPr="008439E8" w:rsidRDefault="00263078" w:rsidP="00EF34D5">
      <w:pPr>
        <w:spacing w:after="0" w:line="480" w:lineRule="auto"/>
        <w:rPr>
          <w:rFonts w:cs="Arial"/>
          <w:szCs w:val="22"/>
        </w:rPr>
      </w:pPr>
      <w:r w:rsidRPr="008439E8">
        <w:rPr>
          <w:rFonts w:cs="Arial"/>
          <w:szCs w:val="22"/>
        </w:rPr>
        <w:t>In patients with cardiovascular disease prescribed sibutramine the number needed to harm (NNH) at 4 months (close to the median exposure time for sibutramine)</w:t>
      </w:r>
      <w:r w:rsidR="00ED6215" w:rsidRPr="008439E8">
        <w:rPr>
          <w:rFonts w:cs="Arial"/>
          <w:szCs w:val="22"/>
        </w:rPr>
        <w:t xml:space="preserve"> was 129 (95%CI 57-360)</w:t>
      </w:r>
      <w:r w:rsidRPr="008439E8">
        <w:rPr>
          <w:rFonts w:cs="Arial"/>
          <w:szCs w:val="22"/>
        </w:rPr>
        <w:t xml:space="preserve"> and at one year was 28</w:t>
      </w:r>
      <w:r w:rsidR="00ED6215" w:rsidRPr="008439E8">
        <w:rPr>
          <w:rFonts w:cs="Arial"/>
          <w:szCs w:val="22"/>
        </w:rPr>
        <w:t xml:space="preserve"> (95%CI 12-77)</w:t>
      </w:r>
      <w:r w:rsidRPr="008439E8">
        <w:rPr>
          <w:rFonts w:cs="Arial"/>
          <w:szCs w:val="22"/>
        </w:rPr>
        <w:t xml:space="preserve"> (Table 3). </w:t>
      </w:r>
    </w:p>
    <w:p w:rsidR="00402183" w:rsidRPr="008439E8" w:rsidRDefault="00402183" w:rsidP="00EF34D5">
      <w:pPr>
        <w:spacing w:after="0" w:line="480" w:lineRule="auto"/>
        <w:rPr>
          <w:rFonts w:cs="Arial"/>
          <w:szCs w:val="22"/>
        </w:rPr>
      </w:pPr>
    </w:p>
    <w:p w:rsidR="00263078" w:rsidRPr="008439E8" w:rsidRDefault="00263078" w:rsidP="00EF34D5">
      <w:pPr>
        <w:spacing w:after="0" w:line="480" w:lineRule="auto"/>
        <w:rPr>
          <w:rFonts w:cs="Arial"/>
          <w:szCs w:val="22"/>
        </w:rPr>
      </w:pPr>
      <w:r w:rsidRPr="008439E8">
        <w:rPr>
          <w:rFonts w:cs="Arial"/>
          <w:szCs w:val="22"/>
        </w:rPr>
        <w:t>PS matching on a 1:1 nearest neighbour basis (0.01 caliper), dropped 53</w:t>
      </w:r>
      <w:r w:rsidR="00ED6215" w:rsidRPr="008439E8">
        <w:rPr>
          <w:rFonts w:cs="Arial"/>
          <w:szCs w:val="22"/>
        </w:rPr>
        <w:t xml:space="preserve"> </w:t>
      </w:r>
      <w:r w:rsidRPr="008439E8">
        <w:rPr>
          <w:rFonts w:cs="Arial"/>
          <w:szCs w:val="22"/>
        </w:rPr>
        <w:t>120 patient-treatment periods that were not matched, and only included 80 events. This method gave a HR of 1.63 (95%CI 0.91-2.92, P=0.10). Although the point estimate was similar, this method dramatically reduced power and was not an efficient use of the available data.</w:t>
      </w:r>
      <w:r w:rsidR="00E81190" w:rsidRPr="008439E8">
        <w:rPr>
          <w:rFonts w:cs="Arial"/>
          <w:szCs w:val="22"/>
        </w:rPr>
        <w:t xml:space="preserve"> The same was true for censoring all patients prescribed orlistat at</w:t>
      </w:r>
      <w:r w:rsidR="00C633C6" w:rsidRPr="008439E8">
        <w:rPr>
          <w:rFonts w:cs="Arial"/>
          <w:szCs w:val="22"/>
        </w:rPr>
        <w:t xml:space="preserve"> the end of</w:t>
      </w:r>
      <w:r w:rsidR="00E81190" w:rsidRPr="008439E8">
        <w:rPr>
          <w:rFonts w:cs="Arial"/>
          <w:szCs w:val="22"/>
        </w:rPr>
        <w:t xml:space="preserve"> 2010</w:t>
      </w:r>
      <w:r w:rsidR="00C633C6" w:rsidRPr="008439E8">
        <w:rPr>
          <w:rFonts w:cs="Arial"/>
          <w:szCs w:val="22"/>
        </w:rPr>
        <w:t xml:space="preserve">, </w:t>
      </w:r>
      <w:r w:rsidR="00E81190" w:rsidRPr="008439E8">
        <w:rPr>
          <w:rFonts w:cs="Arial"/>
          <w:szCs w:val="22"/>
        </w:rPr>
        <w:t>whe</w:t>
      </w:r>
      <w:r w:rsidR="00C633C6" w:rsidRPr="008439E8">
        <w:rPr>
          <w:rFonts w:cs="Arial"/>
          <w:szCs w:val="22"/>
        </w:rPr>
        <w:t>n sibutramine use was suspended; HR 1.49 (95%CI 0.98-2.26).</w:t>
      </w:r>
    </w:p>
    <w:p w:rsidR="00263078" w:rsidRPr="008439E8" w:rsidRDefault="00263078" w:rsidP="00EF34D5">
      <w:pPr>
        <w:spacing w:after="0" w:line="480" w:lineRule="auto"/>
        <w:rPr>
          <w:rFonts w:cs="Arial"/>
          <w:szCs w:val="22"/>
        </w:rPr>
      </w:pPr>
    </w:p>
    <w:p w:rsidR="00263078" w:rsidRPr="008439E8" w:rsidRDefault="00263078" w:rsidP="00EF34D5">
      <w:pPr>
        <w:spacing w:after="0" w:line="480" w:lineRule="auto"/>
        <w:rPr>
          <w:rFonts w:cs="Arial"/>
          <w:szCs w:val="22"/>
        </w:rPr>
      </w:pPr>
      <w:r w:rsidRPr="008439E8">
        <w:rPr>
          <w:rFonts w:cs="Arial"/>
          <w:szCs w:val="22"/>
        </w:rPr>
        <w:t xml:space="preserve">Reducing the exposure period from 60 days following the final medication dose to 15 days following the final dose produced a PS adjusted hazard ratio of 1.87 (95%CI 1.23-12.84, P=0.03). The analysis for interaction between sibutramine and cardiovascular risk factors produced similar findings to the original analysis. There was </w:t>
      </w:r>
      <w:r w:rsidR="00ED6215" w:rsidRPr="008439E8">
        <w:rPr>
          <w:rFonts w:cs="Arial"/>
          <w:szCs w:val="22"/>
        </w:rPr>
        <w:t>weak</w:t>
      </w:r>
      <w:r w:rsidRPr="008439E8">
        <w:rPr>
          <w:rFonts w:cs="Arial"/>
          <w:szCs w:val="22"/>
        </w:rPr>
        <w:t xml:space="preserve"> evidence that those without cardiovascular</w:t>
      </w:r>
      <w:r w:rsidR="00ED6215" w:rsidRPr="008439E8">
        <w:rPr>
          <w:rFonts w:cs="Arial"/>
          <w:szCs w:val="22"/>
        </w:rPr>
        <w:t xml:space="preserve"> disease had an elevated rate</w:t>
      </w:r>
      <w:r w:rsidRPr="008439E8">
        <w:rPr>
          <w:rFonts w:cs="Arial"/>
          <w:szCs w:val="22"/>
        </w:rPr>
        <w:t xml:space="preserve"> of MI/CVE if prescribed sibutramine (HR 1.62, 95%CI 0.98-2.67, P=0.058) whereas </w:t>
      </w:r>
      <w:r w:rsidR="00ED6215" w:rsidRPr="008439E8">
        <w:rPr>
          <w:rFonts w:cs="Arial"/>
          <w:szCs w:val="22"/>
        </w:rPr>
        <w:t xml:space="preserve">there was strong evidence that </w:t>
      </w:r>
      <w:r w:rsidRPr="008439E8">
        <w:rPr>
          <w:rFonts w:cs="Arial"/>
          <w:szCs w:val="22"/>
        </w:rPr>
        <w:t xml:space="preserve">those with pre-existing </w:t>
      </w:r>
      <w:r w:rsidR="00ED6215" w:rsidRPr="008439E8">
        <w:rPr>
          <w:rFonts w:cs="Arial"/>
          <w:szCs w:val="22"/>
        </w:rPr>
        <w:t>disease were at increased risk</w:t>
      </w:r>
      <w:r w:rsidRPr="008439E8">
        <w:rPr>
          <w:rFonts w:cs="Arial"/>
          <w:szCs w:val="22"/>
        </w:rPr>
        <w:t xml:space="preserve"> (HR 4.96, (%%CI 2.51-9.78, P=0.001). </w:t>
      </w:r>
    </w:p>
    <w:p w:rsidR="00263078" w:rsidRPr="008439E8" w:rsidRDefault="00263078" w:rsidP="00EF34D5">
      <w:pPr>
        <w:spacing w:after="0" w:line="480" w:lineRule="auto"/>
        <w:rPr>
          <w:rFonts w:cs="Arial"/>
          <w:szCs w:val="22"/>
        </w:rPr>
      </w:pPr>
    </w:p>
    <w:p w:rsidR="00263078" w:rsidRPr="008439E8" w:rsidRDefault="00263078" w:rsidP="00EF34D5">
      <w:pPr>
        <w:pStyle w:val="Heading2"/>
        <w:tabs>
          <w:tab w:val="left" w:pos="7890"/>
        </w:tabs>
        <w:spacing w:before="0" w:line="480" w:lineRule="auto"/>
        <w:rPr>
          <w:rFonts w:ascii="Arial" w:hAnsi="Arial" w:cs="Arial"/>
          <w:b/>
          <w:sz w:val="22"/>
          <w:szCs w:val="22"/>
        </w:rPr>
      </w:pPr>
      <w:bookmarkStart w:id="13" w:name="_Toc395780042"/>
      <w:r w:rsidRPr="008439E8">
        <w:rPr>
          <w:rFonts w:ascii="Arial" w:hAnsi="Arial" w:cs="Arial"/>
          <w:b/>
          <w:color w:val="auto"/>
          <w:sz w:val="22"/>
          <w:szCs w:val="22"/>
        </w:rPr>
        <w:t>Rate of all-cause mortality</w:t>
      </w:r>
      <w:bookmarkEnd w:id="13"/>
      <w:r w:rsidRPr="008439E8">
        <w:rPr>
          <w:rFonts w:ascii="Arial" w:hAnsi="Arial" w:cs="Arial"/>
          <w:b/>
          <w:sz w:val="22"/>
          <w:szCs w:val="22"/>
        </w:rPr>
        <w:tab/>
      </w:r>
    </w:p>
    <w:p w:rsidR="00263078" w:rsidRPr="008439E8" w:rsidRDefault="00263078" w:rsidP="00EF34D5">
      <w:pPr>
        <w:spacing w:after="0" w:line="480" w:lineRule="auto"/>
        <w:rPr>
          <w:rFonts w:cs="Arial"/>
          <w:szCs w:val="22"/>
        </w:rPr>
      </w:pPr>
      <w:r w:rsidRPr="008439E8">
        <w:rPr>
          <w:rFonts w:cs="Arial"/>
          <w:szCs w:val="22"/>
        </w:rPr>
        <w:t>There were 152 deaths in the cohort during the exposure time (124.82 per 10</w:t>
      </w:r>
      <w:r w:rsidRPr="008439E8">
        <w:rPr>
          <w:rFonts w:cs="Arial"/>
          <w:szCs w:val="22"/>
          <w:vertAlign w:val="superscript"/>
        </w:rPr>
        <w:t>5</w:t>
      </w:r>
      <w:r w:rsidRPr="008439E8">
        <w:rPr>
          <w:rFonts w:cs="Arial"/>
          <w:szCs w:val="22"/>
        </w:rPr>
        <w:t xml:space="preserve"> PYAR, 95%CI 106.47-146.32). In the sibutramine exposed group there were 10 deaths in 0.13 per 10</w:t>
      </w:r>
      <w:r w:rsidRPr="008439E8">
        <w:rPr>
          <w:rFonts w:cs="Arial"/>
          <w:szCs w:val="22"/>
          <w:vertAlign w:val="superscript"/>
        </w:rPr>
        <w:t>5</w:t>
      </w:r>
      <w:r w:rsidRPr="008439E8">
        <w:rPr>
          <w:rFonts w:cs="Arial"/>
          <w:szCs w:val="22"/>
        </w:rPr>
        <w:t xml:space="preserve"> PAYR compared to 142 in 1.09 per 10</w:t>
      </w:r>
      <w:r w:rsidRPr="008439E8">
        <w:rPr>
          <w:rFonts w:cs="Arial"/>
          <w:szCs w:val="22"/>
          <w:vertAlign w:val="superscript"/>
        </w:rPr>
        <w:t>5</w:t>
      </w:r>
      <w:r w:rsidRPr="008439E8">
        <w:rPr>
          <w:rFonts w:cs="Arial"/>
          <w:szCs w:val="22"/>
        </w:rPr>
        <w:t xml:space="preserve"> in the orlistat group. Crude HR was 0.50 (95%CI 0.26-0.99) </w:t>
      </w:r>
      <w:r w:rsidRPr="008439E8">
        <w:rPr>
          <w:rStyle w:val="SubtleEmphasis"/>
          <w:rFonts w:cs="Arial"/>
          <w:color w:val="auto"/>
          <w:szCs w:val="22"/>
        </w:rPr>
        <w:t xml:space="preserve">This potential difference in mortality between sibutramine and orlistat patients </w:t>
      </w:r>
      <w:r w:rsidRPr="008439E8">
        <w:rPr>
          <w:rStyle w:val="SubtleEmphasis"/>
          <w:rFonts w:cs="Arial"/>
          <w:color w:val="auto"/>
          <w:szCs w:val="22"/>
        </w:rPr>
        <w:lastRenderedPageBreak/>
        <w:t>was reduced following adjustment for age, sex, BMI, smoking, alcohol, CHD, CVD, PVD, T2D, other atheroma and hypertension, (HR 0.64, 95% CI 0.32-1.28). Similar results were seen with PS adjustment</w:t>
      </w:r>
      <w:r w:rsidR="00402183" w:rsidRPr="008439E8">
        <w:rPr>
          <w:rStyle w:val="SubtleEmphasis"/>
          <w:rFonts w:cs="Arial"/>
          <w:color w:val="auto"/>
          <w:szCs w:val="22"/>
        </w:rPr>
        <w:t xml:space="preserve"> (Table 4)</w:t>
      </w:r>
      <w:r w:rsidRPr="008439E8">
        <w:rPr>
          <w:rStyle w:val="SubtleEmphasis"/>
          <w:rFonts w:cs="Arial"/>
          <w:color w:val="auto"/>
          <w:szCs w:val="22"/>
        </w:rPr>
        <w:t xml:space="preserve">. </w:t>
      </w:r>
      <w:r w:rsidRPr="008439E8">
        <w:rPr>
          <w:rFonts w:cs="Arial"/>
          <w:szCs w:val="22"/>
        </w:rPr>
        <w:t>There was no clear evidence of increased rate of all-cause mortality in the group of patients taking sibutramine who had pre-existing cardiovascular or cerebrovascular disease (HR 1.82, 95% CI 0.53-6.21, P= 0.34). However there was an increased rate of mortality in those with T2</w:t>
      </w:r>
      <w:r w:rsidR="00ED6215" w:rsidRPr="008439E8">
        <w:rPr>
          <w:rFonts w:cs="Arial"/>
          <w:szCs w:val="22"/>
        </w:rPr>
        <w:t>D</w:t>
      </w:r>
      <w:r w:rsidRPr="008439E8">
        <w:rPr>
          <w:rFonts w:cs="Arial"/>
          <w:szCs w:val="22"/>
        </w:rPr>
        <w:t xml:space="preserve"> and cardiac risk factors (HR 2.7</w:t>
      </w:r>
      <w:r w:rsidR="00C633C6" w:rsidRPr="008439E8">
        <w:rPr>
          <w:rFonts w:cs="Arial"/>
          <w:szCs w:val="22"/>
        </w:rPr>
        <w:t>2, 95% CI 1.12-6.59-1.57, P=0.0</w:t>
      </w:r>
      <w:r w:rsidRPr="008439E8">
        <w:rPr>
          <w:rFonts w:cs="Arial"/>
          <w:szCs w:val="22"/>
        </w:rPr>
        <w:t xml:space="preserve">26). However these analyses were underpowered and relate to death from a wide range of causes including many that sibutramine would not be expected to influence and should therefore be viewed as exploratory. </w:t>
      </w:r>
    </w:p>
    <w:p w:rsidR="00263078" w:rsidRPr="008439E8" w:rsidRDefault="00263078" w:rsidP="00EF34D5">
      <w:pPr>
        <w:spacing w:after="0" w:line="480" w:lineRule="auto"/>
        <w:rPr>
          <w:rFonts w:cs="Arial"/>
          <w:szCs w:val="22"/>
        </w:rPr>
      </w:pPr>
    </w:p>
    <w:p w:rsidR="00263078" w:rsidRPr="008439E8" w:rsidRDefault="00263078" w:rsidP="00EF34D5">
      <w:pPr>
        <w:pStyle w:val="Heading1"/>
        <w:spacing w:before="0" w:after="0" w:line="480" w:lineRule="auto"/>
        <w:rPr>
          <w:rFonts w:ascii="Arial" w:hAnsi="Arial" w:cs="Arial"/>
          <w:szCs w:val="36"/>
        </w:rPr>
      </w:pPr>
      <w:bookmarkStart w:id="14" w:name="_Toc395780043"/>
      <w:r w:rsidRPr="008439E8">
        <w:rPr>
          <w:rFonts w:ascii="Arial" w:hAnsi="Arial" w:cs="Arial"/>
          <w:szCs w:val="36"/>
        </w:rPr>
        <w:t>Discussion</w:t>
      </w:r>
      <w:bookmarkEnd w:id="14"/>
    </w:p>
    <w:p w:rsidR="00263078" w:rsidRPr="008439E8" w:rsidRDefault="00263078" w:rsidP="00EF34D5">
      <w:pPr>
        <w:spacing w:after="0" w:line="480" w:lineRule="auto"/>
        <w:rPr>
          <w:rFonts w:cs="Arial"/>
          <w:szCs w:val="22"/>
        </w:rPr>
      </w:pPr>
      <w:r w:rsidRPr="008439E8">
        <w:rPr>
          <w:rFonts w:cs="Arial"/>
          <w:szCs w:val="22"/>
        </w:rPr>
        <w:t>This large cohort study</w:t>
      </w:r>
      <w:r w:rsidR="001B6B29" w:rsidRPr="008439E8">
        <w:rPr>
          <w:rFonts w:cs="Arial"/>
          <w:szCs w:val="22"/>
        </w:rPr>
        <w:t>, which</w:t>
      </w:r>
      <w:r w:rsidRPr="008439E8">
        <w:rPr>
          <w:rFonts w:cs="Arial"/>
          <w:szCs w:val="22"/>
        </w:rPr>
        <w:t xml:space="preserve"> is representative of “real World” overweight and obese individuals registered with a GP in the UK</w:t>
      </w:r>
      <w:r w:rsidR="001B6B29" w:rsidRPr="008439E8">
        <w:rPr>
          <w:rFonts w:cs="Arial"/>
          <w:szCs w:val="22"/>
        </w:rPr>
        <w:t>,</w:t>
      </w:r>
      <w:r w:rsidRPr="008439E8">
        <w:rPr>
          <w:rFonts w:cs="Arial"/>
          <w:noProof/>
          <w:szCs w:val="22"/>
          <w:vertAlign w:val="superscript"/>
        </w:rPr>
        <w:t>22</w:t>
      </w:r>
      <w:r w:rsidRPr="008439E8">
        <w:rPr>
          <w:rFonts w:cs="Arial"/>
          <w:szCs w:val="22"/>
        </w:rPr>
        <w:t xml:space="preserve"> shows that sibutramine is associated with increased rate of MI/CVE. This increase is primarily driven by elevated rates in those with pre-existing cardiovascular disease</w:t>
      </w:r>
      <w:r w:rsidR="00E2185D" w:rsidRPr="008439E8">
        <w:rPr>
          <w:rFonts w:cs="Arial"/>
          <w:szCs w:val="22"/>
        </w:rPr>
        <w:t xml:space="preserve"> (even though this group represented only 5% of the cohort)</w:t>
      </w:r>
      <w:r w:rsidRPr="008439E8">
        <w:rPr>
          <w:rFonts w:cs="Arial"/>
          <w:szCs w:val="22"/>
        </w:rPr>
        <w:t>, and those without pre-existing disease may have little or no increased risk. It also shows that sibutramine is unlikely to alter all-cause mortality overall, but there remains a possibility of an increased risk of mortality in a subgroup of people with diabetes an</w:t>
      </w:r>
      <w:r w:rsidR="004D641A" w:rsidRPr="008439E8">
        <w:rPr>
          <w:rFonts w:cs="Arial"/>
          <w:szCs w:val="22"/>
        </w:rPr>
        <w:t>d cardiovascular risk factors. Although limited by the non-random allocation of sibutramine or orlistat to patients, t</w:t>
      </w:r>
      <w:r w:rsidRPr="008439E8">
        <w:rPr>
          <w:rFonts w:cs="Arial"/>
          <w:szCs w:val="22"/>
        </w:rPr>
        <w:t>hese findings are similar to SCOUT</w:t>
      </w:r>
      <w:r w:rsidR="001B6B29" w:rsidRPr="008439E8">
        <w:rPr>
          <w:rFonts w:cs="Arial"/>
          <w:szCs w:val="22"/>
        </w:rPr>
        <w:t>.</w:t>
      </w:r>
      <w:r w:rsidRPr="008439E8">
        <w:rPr>
          <w:rFonts w:cs="Arial"/>
          <w:noProof/>
          <w:szCs w:val="22"/>
          <w:vertAlign w:val="superscript"/>
        </w:rPr>
        <w:t>3</w:t>
      </w:r>
      <w:r w:rsidRPr="008439E8">
        <w:rPr>
          <w:rFonts w:cs="Arial"/>
          <w:szCs w:val="22"/>
        </w:rPr>
        <w:t xml:space="preserve"> </w:t>
      </w:r>
    </w:p>
    <w:p w:rsidR="00E2185D" w:rsidRPr="008439E8" w:rsidRDefault="00E2185D" w:rsidP="00EF34D5">
      <w:pPr>
        <w:spacing w:after="0" w:line="480" w:lineRule="auto"/>
        <w:rPr>
          <w:rFonts w:cs="Arial"/>
          <w:szCs w:val="22"/>
        </w:rPr>
      </w:pPr>
    </w:p>
    <w:p w:rsidR="00263078" w:rsidRPr="008439E8" w:rsidRDefault="00263078" w:rsidP="00EF34D5">
      <w:pPr>
        <w:spacing w:after="0" w:line="480" w:lineRule="auto"/>
        <w:rPr>
          <w:rFonts w:cs="Arial"/>
          <w:szCs w:val="22"/>
        </w:rPr>
      </w:pPr>
      <w:r w:rsidRPr="008439E8">
        <w:rPr>
          <w:rFonts w:cs="Arial"/>
          <w:szCs w:val="22"/>
        </w:rPr>
        <w:t>Our group has previously shown the amount of weight loss associated with sibutramine use is marginal at best</w:t>
      </w:r>
      <w:r w:rsidR="001B6B29" w:rsidRPr="008439E8">
        <w:rPr>
          <w:rFonts w:cs="Arial"/>
          <w:szCs w:val="22"/>
          <w:vertAlign w:val="superscript"/>
        </w:rPr>
        <w:t>9</w:t>
      </w:r>
      <w:r w:rsidR="001B6B29" w:rsidRPr="008439E8">
        <w:rPr>
          <w:rFonts w:cs="Arial"/>
          <w:szCs w:val="22"/>
        </w:rPr>
        <w:t xml:space="preserve"> </w:t>
      </w:r>
      <w:r w:rsidRPr="008439E8">
        <w:rPr>
          <w:rFonts w:cs="Arial"/>
          <w:szCs w:val="22"/>
        </w:rPr>
        <w:t xml:space="preserve">and in the context of a poor expected benefit, substantial potential harms are not tolerable. Our results confirm that the risk benefit balance in people with existing </w:t>
      </w:r>
      <w:r w:rsidR="001B6B29" w:rsidRPr="008439E8">
        <w:rPr>
          <w:rFonts w:cs="Arial"/>
          <w:szCs w:val="22"/>
        </w:rPr>
        <w:t>cardiovascular disease</w:t>
      </w:r>
      <w:r w:rsidRPr="008439E8">
        <w:rPr>
          <w:rFonts w:cs="Arial"/>
          <w:szCs w:val="22"/>
        </w:rPr>
        <w:t xml:space="preserve"> was negative but our findings in those without </w:t>
      </w:r>
      <w:r w:rsidR="001B6B29" w:rsidRPr="008439E8">
        <w:rPr>
          <w:rFonts w:cs="Arial"/>
          <w:szCs w:val="22"/>
        </w:rPr>
        <w:t>cardiovascular disease</w:t>
      </w:r>
      <w:r w:rsidRPr="008439E8">
        <w:rPr>
          <w:rFonts w:cs="Arial"/>
          <w:szCs w:val="22"/>
        </w:rPr>
        <w:t xml:space="preserve"> are less clear. We found no strong evidence of an increased risk of MI/CVE in this group but were unable to rule out a potential doubling of risk due to small patient numbers. </w:t>
      </w:r>
      <w:r w:rsidRPr="008439E8">
        <w:rPr>
          <w:rFonts w:cs="Arial"/>
          <w:szCs w:val="22"/>
        </w:rPr>
        <w:lastRenderedPageBreak/>
        <w:t>Nonetheless, even if a causal effect exists in people without CVD, the absolute risk would remain low in this group.</w:t>
      </w:r>
    </w:p>
    <w:p w:rsidR="00402183" w:rsidRPr="008439E8" w:rsidRDefault="00402183" w:rsidP="00EF34D5">
      <w:pPr>
        <w:spacing w:after="0" w:line="480" w:lineRule="auto"/>
        <w:rPr>
          <w:rFonts w:cs="Arial"/>
          <w:szCs w:val="22"/>
        </w:rPr>
      </w:pPr>
    </w:p>
    <w:p w:rsidR="00263078" w:rsidRPr="008439E8" w:rsidRDefault="00263078" w:rsidP="00EF34D5">
      <w:pPr>
        <w:pStyle w:val="Heading2"/>
        <w:spacing w:before="0" w:line="480" w:lineRule="auto"/>
        <w:rPr>
          <w:rFonts w:ascii="Arial" w:hAnsi="Arial" w:cs="Arial"/>
          <w:b/>
          <w:color w:val="auto"/>
          <w:sz w:val="22"/>
          <w:szCs w:val="22"/>
        </w:rPr>
      </w:pPr>
      <w:r w:rsidRPr="008439E8">
        <w:rPr>
          <w:rFonts w:ascii="Arial" w:hAnsi="Arial" w:cs="Arial"/>
          <w:b/>
          <w:color w:val="auto"/>
          <w:sz w:val="22"/>
          <w:szCs w:val="22"/>
        </w:rPr>
        <w:t xml:space="preserve">Strengths and Limitations </w:t>
      </w:r>
    </w:p>
    <w:p w:rsidR="00263078" w:rsidRPr="008439E8" w:rsidRDefault="00263078" w:rsidP="00EF34D5">
      <w:pPr>
        <w:spacing w:after="0" w:line="480" w:lineRule="auto"/>
        <w:rPr>
          <w:rFonts w:cs="Arial"/>
          <w:szCs w:val="22"/>
        </w:rPr>
      </w:pPr>
      <w:r w:rsidRPr="008439E8">
        <w:rPr>
          <w:rFonts w:cs="Arial"/>
          <w:szCs w:val="22"/>
        </w:rPr>
        <w:t>The use of contemporaneous, representative medical records avoided the risk of potential biases relating to selection. Information bias should partially have been avoided by the use of prescribing data as exposure, in the UK GPs are responsible for all ongoing prescribing, which is detailed and well recorded in CPRD</w:t>
      </w:r>
      <w:r w:rsidR="001B6B29" w:rsidRPr="008439E8">
        <w:rPr>
          <w:rFonts w:cs="Arial"/>
          <w:szCs w:val="22"/>
        </w:rPr>
        <w:t>.</w:t>
      </w:r>
      <w:r w:rsidRPr="008439E8">
        <w:rPr>
          <w:rFonts w:cs="Arial"/>
          <w:noProof/>
          <w:szCs w:val="22"/>
          <w:vertAlign w:val="superscript"/>
        </w:rPr>
        <w:t>13</w:t>
      </w:r>
      <w:r w:rsidRPr="008439E8">
        <w:rPr>
          <w:rFonts w:cs="Arial"/>
          <w:szCs w:val="22"/>
        </w:rPr>
        <w:t xml:space="preserve"> </w:t>
      </w:r>
    </w:p>
    <w:p w:rsidR="00263078" w:rsidRPr="008439E8" w:rsidRDefault="00263078" w:rsidP="00EF34D5">
      <w:pPr>
        <w:spacing w:after="0" w:line="480" w:lineRule="auto"/>
        <w:rPr>
          <w:rFonts w:cs="Arial"/>
          <w:szCs w:val="22"/>
        </w:rPr>
      </w:pPr>
    </w:p>
    <w:p w:rsidR="00263078" w:rsidRPr="008439E8" w:rsidRDefault="00263078" w:rsidP="00EF34D5">
      <w:pPr>
        <w:spacing w:after="0" w:line="480" w:lineRule="auto"/>
        <w:rPr>
          <w:rFonts w:cs="Arial"/>
        </w:rPr>
      </w:pPr>
      <w:r w:rsidRPr="008439E8">
        <w:rPr>
          <w:rFonts w:cs="Arial"/>
          <w:szCs w:val="22"/>
        </w:rPr>
        <w:t xml:space="preserve">The similarities between orlsitat and sibutramine treatment groups in terms of PS suggested that confounding by indication was unlikely to be a major issue in this study. </w:t>
      </w:r>
      <w:r w:rsidR="00E2185D" w:rsidRPr="008439E8">
        <w:rPr>
          <w:rFonts w:cs="Arial"/>
          <w:szCs w:val="22"/>
        </w:rPr>
        <w:t>Two</w:t>
      </w:r>
      <w:r w:rsidRPr="008439E8">
        <w:rPr>
          <w:rFonts w:cs="Arial"/>
          <w:szCs w:val="22"/>
        </w:rPr>
        <w:t xml:space="preserve"> important difference</w:t>
      </w:r>
      <w:r w:rsidR="00E2185D" w:rsidRPr="008439E8">
        <w:rPr>
          <w:rFonts w:cs="Arial"/>
          <w:szCs w:val="22"/>
        </w:rPr>
        <w:t>s</w:t>
      </w:r>
      <w:r w:rsidRPr="008439E8">
        <w:rPr>
          <w:rFonts w:cs="Arial"/>
          <w:szCs w:val="22"/>
        </w:rPr>
        <w:t xml:space="preserve"> could be history of CVD</w:t>
      </w:r>
      <w:r w:rsidR="00E2185D" w:rsidRPr="008439E8">
        <w:rPr>
          <w:rFonts w:cs="Arial"/>
          <w:szCs w:val="22"/>
        </w:rPr>
        <w:t xml:space="preserve"> and prescribing of statins</w:t>
      </w:r>
      <w:r w:rsidRPr="008439E8">
        <w:rPr>
          <w:rFonts w:cs="Arial"/>
          <w:szCs w:val="22"/>
        </w:rPr>
        <w:t>. Indeed, people in the sibutramine group were less likely to have pre-existing CVD</w:t>
      </w:r>
      <w:r w:rsidR="00E2185D" w:rsidRPr="008439E8">
        <w:rPr>
          <w:rFonts w:cs="Arial"/>
          <w:szCs w:val="22"/>
        </w:rPr>
        <w:t>, and less likely to receive statins than those receiving orlistat. This is</w:t>
      </w:r>
      <w:r w:rsidRPr="008439E8">
        <w:rPr>
          <w:rFonts w:cs="Arial"/>
          <w:szCs w:val="22"/>
        </w:rPr>
        <w:t xml:space="preserve"> in keeping with the prescribing guidance for these drugs. Although we adjusted for this in our analyses, it is possible that residual confounding remained. However, this would tend to lead to an underestimate of the increased risk amongst sibutramine users.</w:t>
      </w:r>
      <w:r w:rsidR="004D641A" w:rsidRPr="008439E8">
        <w:rPr>
          <w:rFonts w:cs="Arial"/>
          <w:szCs w:val="22"/>
        </w:rPr>
        <w:t xml:space="preserve"> </w:t>
      </w:r>
      <w:r w:rsidR="00013C72" w:rsidRPr="008439E8">
        <w:rPr>
          <w:rFonts w:cs="Arial"/>
        </w:rPr>
        <w:t>It is also possible that our PS model could have been improved by inclusion of extra baseline characteristics such as blood pressure, heart rate and lipid profile but this analysis was not possible, and we instead adjusted for correlates of these characteristics such as diagnosis of hypertension, prescribing of statins and a range of other cardiovascular health factors.</w:t>
      </w:r>
    </w:p>
    <w:p w:rsidR="00013C72" w:rsidRPr="008439E8" w:rsidRDefault="00013C72" w:rsidP="00EF34D5">
      <w:pPr>
        <w:spacing w:after="0" w:line="480" w:lineRule="auto"/>
        <w:rPr>
          <w:rFonts w:cs="Arial"/>
          <w:szCs w:val="22"/>
        </w:rPr>
      </w:pPr>
    </w:p>
    <w:p w:rsidR="00263078" w:rsidRPr="008439E8" w:rsidRDefault="00263078" w:rsidP="00EF34D5">
      <w:pPr>
        <w:spacing w:after="0" w:line="480" w:lineRule="auto"/>
        <w:rPr>
          <w:rFonts w:cs="Arial"/>
          <w:szCs w:val="22"/>
        </w:rPr>
      </w:pPr>
      <w:r w:rsidRPr="008439E8">
        <w:rPr>
          <w:rFonts w:cs="Arial"/>
          <w:szCs w:val="22"/>
        </w:rPr>
        <w:t>The study design reveals a temporal relationship between sibutramine exposure and MI/CVE, this relationship is strong in the pre-existing cardiovascular disease group, and a plausible and coherent causal mechanism for this effect has been identified</w:t>
      </w:r>
      <w:r w:rsidR="001B6B29" w:rsidRPr="008439E8">
        <w:rPr>
          <w:rFonts w:cs="Arial"/>
          <w:szCs w:val="22"/>
        </w:rPr>
        <w:t>.</w:t>
      </w:r>
      <w:r w:rsidRPr="008439E8">
        <w:rPr>
          <w:rFonts w:cs="Arial"/>
          <w:noProof/>
          <w:szCs w:val="22"/>
          <w:vertAlign w:val="superscript"/>
        </w:rPr>
        <w:t>8</w:t>
      </w:r>
    </w:p>
    <w:p w:rsidR="00263078" w:rsidRPr="008439E8" w:rsidRDefault="00263078" w:rsidP="00EF34D5">
      <w:pPr>
        <w:spacing w:after="0" w:line="480" w:lineRule="auto"/>
        <w:rPr>
          <w:rFonts w:cs="Arial"/>
          <w:szCs w:val="22"/>
        </w:rPr>
      </w:pPr>
      <w:r w:rsidRPr="008439E8">
        <w:rPr>
          <w:rFonts w:cs="Arial"/>
          <w:szCs w:val="22"/>
        </w:rPr>
        <w:t xml:space="preserve">Exposure was defined as starting at the time of prescription issue and ending sixty days after the calculated end date of the final prescription. Poor adherence to prescribed drug regimens is a problem with all medication, and this is particularly true if side effects are </w:t>
      </w:r>
      <w:r w:rsidRPr="008439E8">
        <w:rPr>
          <w:rFonts w:cs="Arial"/>
          <w:szCs w:val="22"/>
        </w:rPr>
        <w:lastRenderedPageBreak/>
        <w:t>unpleasant, as can be the case with sibutramine and orlistat.</w:t>
      </w:r>
      <w:r w:rsidRPr="008439E8">
        <w:rPr>
          <w:rFonts w:cs="Arial"/>
          <w:noProof/>
          <w:szCs w:val="22"/>
          <w:vertAlign w:val="superscript"/>
        </w:rPr>
        <w:t>23</w:t>
      </w:r>
      <w:r w:rsidRPr="008439E8">
        <w:rPr>
          <w:rFonts w:cs="Arial"/>
          <w:szCs w:val="22"/>
        </w:rPr>
        <w:t xml:space="preserve"> It is therefore likely that exposure time has been overestimated, which could lead to a result biased towards no effect. However in the sibutramine exposed group the median period of usage was 0.38 years, suggesting that patients </w:t>
      </w:r>
      <w:r w:rsidRPr="008439E8">
        <w:rPr>
          <w:rFonts w:cs="Arial"/>
          <w:i/>
          <w:szCs w:val="22"/>
        </w:rPr>
        <w:t>did</w:t>
      </w:r>
      <w:r w:rsidRPr="008439E8">
        <w:rPr>
          <w:rFonts w:cs="Arial"/>
          <w:szCs w:val="22"/>
        </w:rPr>
        <w:t xml:space="preserve"> re-present to their GP to collect further prescriptions. Also the sensitivity analysis reducing the at risk period after the final medication date to 15 days found a similar increased rate in those exposed to sibutramine.</w:t>
      </w:r>
    </w:p>
    <w:p w:rsidR="00263078" w:rsidRPr="008439E8" w:rsidRDefault="00263078" w:rsidP="00EF34D5">
      <w:pPr>
        <w:spacing w:after="0" w:line="480" w:lineRule="auto"/>
        <w:rPr>
          <w:rFonts w:cs="Arial"/>
          <w:szCs w:val="22"/>
        </w:rPr>
      </w:pPr>
    </w:p>
    <w:p w:rsidR="00263078" w:rsidRPr="008439E8" w:rsidRDefault="00263078" w:rsidP="00EF34D5">
      <w:pPr>
        <w:spacing w:after="0" w:line="480" w:lineRule="auto"/>
        <w:rPr>
          <w:rFonts w:cs="Arial"/>
          <w:szCs w:val="22"/>
        </w:rPr>
      </w:pPr>
      <w:r w:rsidRPr="008439E8">
        <w:rPr>
          <w:rFonts w:cs="Arial"/>
          <w:szCs w:val="22"/>
        </w:rPr>
        <w:t>Although hard outcomes such as MI, CVE or death should be well recorded by GPs there is some evidence that CPRD underestimates the rate of these events by as much as 25%</w:t>
      </w:r>
      <w:r w:rsidR="001B6B29" w:rsidRPr="008439E8">
        <w:rPr>
          <w:rFonts w:cs="Arial"/>
          <w:szCs w:val="22"/>
        </w:rPr>
        <w:t>.</w:t>
      </w:r>
      <w:r w:rsidRPr="008439E8">
        <w:rPr>
          <w:rFonts w:cs="Arial"/>
          <w:noProof/>
          <w:szCs w:val="22"/>
          <w:vertAlign w:val="superscript"/>
        </w:rPr>
        <w:t>24</w:t>
      </w:r>
      <w:r w:rsidRPr="008439E8">
        <w:rPr>
          <w:rFonts w:cs="Arial"/>
          <w:szCs w:val="22"/>
        </w:rPr>
        <w:t xml:space="preserve"> Despite this there is no reason to assume events are differentially recorded for those individuals exposed to sibutramine, and so this may have resulted in reduced power, rather than incorrect estimates of effect. As well as this there may be errors in identifying acute events. Often a patient would have multiple codes representing acute MI or CVE on multiple dates in their record. When this occurred their full note history was searched for a suggestion that they had experienced a previous event, if so they were excluded. If there was no evidence of a previous event the MI or CVE was recorded as occurring on the date of first entry of that code. However this may be inaccurate if a patients had an event prior to the start of study follow up, had recently moved practices or their event was coded late (from a hospital letter for instance). </w:t>
      </w:r>
    </w:p>
    <w:p w:rsidR="00263078" w:rsidRPr="008439E8" w:rsidRDefault="00263078" w:rsidP="00EF34D5">
      <w:pPr>
        <w:spacing w:after="0" w:line="480" w:lineRule="auto"/>
        <w:rPr>
          <w:rFonts w:cs="Arial"/>
          <w:szCs w:val="22"/>
        </w:rPr>
      </w:pPr>
    </w:p>
    <w:p w:rsidR="00263078" w:rsidRPr="008439E8" w:rsidRDefault="00263078" w:rsidP="00EF34D5">
      <w:pPr>
        <w:pStyle w:val="Heading2"/>
        <w:spacing w:before="0" w:line="480" w:lineRule="auto"/>
        <w:rPr>
          <w:rFonts w:ascii="Arial" w:hAnsi="Arial" w:cs="Arial"/>
          <w:b/>
          <w:color w:val="auto"/>
          <w:sz w:val="22"/>
          <w:szCs w:val="22"/>
        </w:rPr>
      </w:pPr>
      <w:bookmarkStart w:id="15" w:name="_Toc395780048"/>
      <w:r w:rsidRPr="008439E8">
        <w:rPr>
          <w:rFonts w:ascii="Arial" w:hAnsi="Arial" w:cs="Arial"/>
          <w:b/>
          <w:color w:val="auto"/>
          <w:sz w:val="22"/>
          <w:szCs w:val="22"/>
        </w:rPr>
        <w:t>Conclusions and recommendations</w:t>
      </w:r>
      <w:bookmarkEnd w:id="15"/>
      <w:r w:rsidRPr="008439E8">
        <w:rPr>
          <w:rFonts w:ascii="Arial" w:hAnsi="Arial" w:cs="Arial"/>
          <w:b/>
          <w:color w:val="auto"/>
          <w:sz w:val="22"/>
          <w:szCs w:val="22"/>
        </w:rPr>
        <w:t xml:space="preserve"> </w:t>
      </w:r>
    </w:p>
    <w:p w:rsidR="00263078" w:rsidRPr="00BB5152" w:rsidRDefault="00263078" w:rsidP="00EF34D5">
      <w:pPr>
        <w:spacing w:after="0" w:line="480" w:lineRule="auto"/>
        <w:rPr>
          <w:rFonts w:cs="Arial"/>
          <w:szCs w:val="22"/>
        </w:rPr>
      </w:pPr>
      <w:r w:rsidRPr="008439E8">
        <w:rPr>
          <w:rFonts w:cs="Arial"/>
          <w:szCs w:val="22"/>
        </w:rPr>
        <w:t>Sibutramine, as used in routine clinical practice was associated with an increased risk of acute cardiovascular and cerebrovascular events in patients with underlying cardiovascular disease. The absolute risk appears to be high in this group, confirming that the contraindications defined in sibutramine’s licencing were important and appropriate</w:t>
      </w:r>
      <w:r w:rsidR="001B6B29" w:rsidRPr="008439E8">
        <w:rPr>
          <w:rFonts w:cs="Arial"/>
          <w:szCs w:val="22"/>
        </w:rPr>
        <w:t>.</w:t>
      </w:r>
      <w:r w:rsidRPr="008439E8">
        <w:rPr>
          <w:rFonts w:cs="Arial"/>
          <w:noProof/>
          <w:szCs w:val="22"/>
          <w:vertAlign w:val="superscript"/>
        </w:rPr>
        <w:t>1</w:t>
      </w:r>
      <w:r w:rsidRPr="008439E8">
        <w:rPr>
          <w:rFonts w:cs="Arial"/>
          <w:szCs w:val="22"/>
        </w:rPr>
        <w:t xml:space="preserve"> However, the lack of a clear increased risk in people without underlying cardiovascular disease and the overall low absolute rate of events in this group suggest it may have remained a suitable treatment option for patients with no history of cardiovascular disease.</w:t>
      </w:r>
      <w:r w:rsidRPr="00BB5152">
        <w:rPr>
          <w:rFonts w:cs="Arial"/>
          <w:szCs w:val="22"/>
        </w:rPr>
        <w:t xml:space="preserve"> </w:t>
      </w:r>
    </w:p>
    <w:p w:rsidR="00263078" w:rsidRPr="00BB5152" w:rsidRDefault="00263078" w:rsidP="00EF34D5">
      <w:pPr>
        <w:spacing w:after="0" w:line="480" w:lineRule="auto"/>
        <w:rPr>
          <w:rFonts w:cs="Arial"/>
          <w:szCs w:val="22"/>
        </w:rPr>
      </w:pPr>
    </w:p>
    <w:p w:rsidR="00263078" w:rsidRPr="00A248A0" w:rsidRDefault="00263078" w:rsidP="00EF34D5">
      <w:pPr>
        <w:pStyle w:val="Heading1"/>
        <w:spacing w:before="0" w:after="0" w:line="480" w:lineRule="auto"/>
        <w:rPr>
          <w:rFonts w:ascii="Arial" w:hAnsi="Arial" w:cs="Arial"/>
          <w:b/>
          <w:sz w:val="22"/>
          <w:szCs w:val="22"/>
        </w:rPr>
      </w:pPr>
      <w:r>
        <w:rPr>
          <w:rFonts w:ascii="Arial" w:hAnsi="Arial" w:cs="Arial"/>
          <w:b/>
          <w:sz w:val="22"/>
          <w:szCs w:val="22"/>
        </w:rPr>
        <w:t>Acknowledgements</w:t>
      </w:r>
    </w:p>
    <w:p w:rsidR="00263078" w:rsidRDefault="00263078" w:rsidP="00EF34D5">
      <w:r>
        <w:t xml:space="preserve">Joseph F Hayes is supported by a Medical Research Council Population Health Fellowship. </w:t>
      </w:r>
    </w:p>
    <w:p w:rsidR="00263078" w:rsidRDefault="00263078" w:rsidP="00EF34D5">
      <w:r>
        <w:t>Liam Smeeth is supported by a Wellcome Tr</w:t>
      </w:r>
      <w:r w:rsidR="00402183">
        <w:t>ust Senior Clinical Fellowship.</w:t>
      </w:r>
    </w:p>
    <w:p w:rsidR="00402183" w:rsidRDefault="00402183" w:rsidP="00EF34D5"/>
    <w:p w:rsidR="00263078" w:rsidRDefault="00263078" w:rsidP="00EF34D5">
      <w:pPr>
        <w:pStyle w:val="Heading1"/>
        <w:spacing w:before="0" w:after="0" w:line="480" w:lineRule="auto"/>
        <w:rPr>
          <w:rFonts w:ascii="Arial" w:hAnsi="Arial" w:cs="Arial"/>
          <w:b/>
          <w:sz w:val="22"/>
          <w:szCs w:val="22"/>
        </w:rPr>
      </w:pPr>
      <w:r>
        <w:rPr>
          <w:rFonts w:ascii="Arial" w:hAnsi="Arial" w:cs="Arial"/>
          <w:b/>
          <w:sz w:val="22"/>
          <w:szCs w:val="22"/>
        </w:rPr>
        <w:t>Conflict of interest</w:t>
      </w:r>
    </w:p>
    <w:p w:rsidR="00263078" w:rsidRPr="00A248A0" w:rsidRDefault="00263078" w:rsidP="00EF34D5">
      <w:r>
        <w:t>The authors declare no conflict of interest.</w:t>
      </w:r>
    </w:p>
    <w:p w:rsidR="00263078" w:rsidRDefault="00263078" w:rsidP="00EF34D5">
      <w:pPr>
        <w:spacing w:after="0" w:line="480" w:lineRule="auto"/>
        <w:rPr>
          <w:rFonts w:cs="Arial"/>
          <w:szCs w:val="22"/>
        </w:rPr>
      </w:pPr>
    </w:p>
    <w:p w:rsidR="00263078" w:rsidRPr="00BB5152" w:rsidRDefault="004A5A28" w:rsidP="00EF34D5">
      <w:pPr>
        <w:spacing w:after="0" w:line="480" w:lineRule="auto"/>
        <w:rPr>
          <w:rFonts w:cs="Arial"/>
          <w:szCs w:val="22"/>
        </w:rPr>
      </w:pPr>
      <w:r>
        <w:rPr>
          <w:rFonts w:eastAsia="Times New Roman"/>
        </w:rPr>
        <w:t>Supplementary information is available at IJO's website</w:t>
      </w:r>
    </w:p>
    <w:p w:rsidR="00263078" w:rsidRPr="00BB5152" w:rsidRDefault="00263078" w:rsidP="00EF34D5">
      <w:pPr>
        <w:spacing w:after="0" w:line="480" w:lineRule="auto"/>
        <w:rPr>
          <w:rFonts w:cs="Arial"/>
          <w:szCs w:val="22"/>
        </w:rPr>
      </w:pPr>
    </w:p>
    <w:p w:rsidR="00263078" w:rsidRPr="00BB5152" w:rsidRDefault="00263078" w:rsidP="00EF34D5">
      <w:pPr>
        <w:spacing w:after="0" w:line="480" w:lineRule="auto"/>
        <w:rPr>
          <w:rFonts w:cs="Arial"/>
          <w:szCs w:val="22"/>
        </w:rPr>
      </w:pPr>
    </w:p>
    <w:p w:rsidR="00263078" w:rsidRPr="00BB5152" w:rsidRDefault="00263078" w:rsidP="00EF34D5">
      <w:pPr>
        <w:spacing w:after="0" w:line="480" w:lineRule="auto"/>
        <w:rPr>
          <w:rFonts w:cs="Arial"/>
          <w:szCs w:val="22"/>
        </w:rPr>
      </w:pPr>
    </w:p>
    <w:p w:rsidR="00263078" w:rsidRPr="00BB5152" w:rsidRDefault="00263078" w:rsidP="00EF34D5">
      <w:pPr>
        <w:spacing w:after="0" w:line="480" w:lineRule="auto"/>
        <w:rPr>
          <w:rFonts w:cs="Arial"/>
          <w:szCs w:val="22"/>
        </w:rPr>
      </w:pPr>
    </w:p>
    <w:p w:rsidR="00263078" w:rsidRPr="00A248A0" w:rsidRDefault="00263078" w:rsidP="00EF34D5">
      <w:pPr>
        <w:pStyle w:val="Heading1"/>
        <w:spacing w:before="0" w:after="0" w:line="480" w:lineRule="auto"/>
        <w:rPr>
          <w:rFonts w:ascii="Arial" w:hAnsi="Arial" w:cs="Arial"/>
          <w:b/>
          <w:sz w:val="22"/>
          <w:szCs w:val="22"/>
        </w:rPr>
      </w:pPr>
      <w:bookmarkStart w:id="16" w:name="_Toc395780049"/>
      <w:r w:rsidRPr="00A248A0">
        <w:rPr>
          <w:rFonts w:ascii="Arial" w:hAnsi="Arial" w:cs="Arial"/>
          <w:b/>
          <w:sz w:val="22"/>
          <w:szCs w:val="22"/>
        </w:rPr>
        <w:t>References</w:t>
      </w:r>
      <w:bookmarkEnd w:id="16"/>
    </w:p>
    <w:p w:rsidR="00263078" w:rsidRPr="001B6B29" w:rsidRDefault="00263078" w:rsidP="001B6B29">
      <w:pPr>
        <w:pStyle w:val="EndNoteBibliography"/>
        <w:spacing w:after="0" w:line="480" w:lineRule="auto"/>
        <w:ind w:left="720" w:hanging="720"/>
        <w:rPr>
          <w:rFonts w:ascii="Arial" w:hAnsi="Arial" w:cs="Arial"/>
        </w:rPr>
      </w:pPr>
      <w:bookmarkStart w:id="17" w:name="_ENREF_1"/>
      <w:r w:rsidRPr="005C06AE">
        <w:t>1.</w:t>
      </w:r>
      <w:r w:rsidRPr="005C06AE">
        <w:tab/>
      </w:r>
      <w:r w:rsidR="008B0FC1" w:rsidRPr="008B0FC1">
        <w:rPr>
          <w:rFonts w:ascii="Arial" w:hAnsi="Arial" w:cs="Arial"/>
        </w:rPr>
        <w:t>National Institute for Health and Care Excellence</w:t>
      </w:r>
      <w:r w:rsidRPr="008B0FC1">
        <w:rPr>
          <w:rFonts w:ascii="Arial" w:hAnsi="Arial" w:cs="Arial"/>
        </w:rPr>
        <w:t>.</w:t>
      </w:r>
      <w:r w:rsidR="008B0FC1" w:rsidRPr="008B0FC1">
        <w:rPr>
          <w:rFonts w:ascii="Arial" w:hAnsi="Arial" w:cs="Arial"/>
        </w:rPr>
        <w:t xml:space="preserve"> Clinical Guideline</w:t>
      </w:r>
      <w:r w:rsidR="008B0FC1">
        <w:rPr>
          <w:rFonts w:ascii="Arial" w:hAnsi="Arial" w:cs="Arial"/>
        </w:rPr>
        <w:t xml:space="preserve"> 43:</w:t>
      </w:r>
      <w:r w:rsidRPr="001B6B29">
        <w:rPr>
          <w:rFonts w:ascii="Arial" w:hAnsi="Arial" w:cs="Arial"/>
        </w:rPr>
        <w:t xml:space="preserve"> Obesity: the prevention, identification, assessment and management of overweight and obesity in adults and children.</w:t>
      </w:r>
      <w:r w:rsidR="008B0FC1">
        <w:rPr>
          <w:rFonts w:ascii="Arial" w:hAnsi="Arial" w:cs="Arial"/>
        </w:rPr>
        <w:t xml:space="preserve"> NICE: London, UK, </w:t>
      </w:r>
      <w:r w:rsidRPr="001B6B29">
        <w:rPr>
          <w:rFonts w:ascii="Arial" w:hAnsi="Arial" w:cs="Arial"/>
        </w:rPr>
        <w:t xml:space="preserve"> 2006.</w:t>
      </w:r>
      <w:bookmarkEnd w:id="17"/>
    </w:p>
    <w:p w:rsidR="00263078" w:rsidRPr="001B6B29" w:rsidRDefault="00263078" w:rsidP="001B6B29">
      <w:pPr>
        <w:pStyle w:val="EndNoteBibliography"/>
        <w:spacing w:after="0" w:line="480" w:lineRule="auto"/>
        <w:ind w:left="720" w:hanging="720"/>
        <w:rPr>
          <w:rFonts w:ascii="Arial" w:hAnsi="Arial" w:cs="Arial"/>
        </w:rPr>
      </w:pPr>
      <w:bookmarkStart w:id="18" w:name="_ENREF_2"/>
      <w:r w:rsidRPr="001B6B29">
        <w:rPr>
          <w:rFonts w:ascii="Arial" w:hAnsi="Arial" w:cs="Arial"/>
        </w:rPr>
        <w:t>2.</w:t>
      </w:r>
      <w:r w:rsidRPr="001B6B29">
        <w:rPr>
          <w:rFonts w:ascii="Arial" w:hAnsi="Arial" w:cs="Arial"/>
        </w:rPr>
        <w:tab/>
        <w:t xml:space="preserve">Williams G. Withdrawal of sibutramine in Europe. </w:t>
      </w:r>
      <w:r w:rsidRPr="001B6B29">
        <w:rPr>
          <w:rFonts w:ascii="Arial" w:hAnsi="Arial" w:cs="Arial"/>
          <w:i/>
        </w:rPr>
        <w:t>BMJ</w:t>
      </w:r>
      <w:r w:rsidRPr="001B6B29">
        <w:rPr>
          <w:rFonts w:ascii="Arial" w:hAnsi="Arial" w:cs="Arial"/>
        </w:rPr>
        <w:t xml:space="preserve"> 2010, </w:t>
      </w:r>
      <w:r w:rsidRPr="001B6B29">
        <w:rPr>
          <w:rFonts w:ascii="Arial" w:hAnsi="Arial" w:cs="Arial"/>
          <w:b/>
        </w:rPr>
        <w:t>340</w:t>
      </w:r>
      <w:r w:rsidRPr="001B6B29">
        <w:rPr>
          <w:rFonts w:ascii="Arial" w:hAnsi="Arial" w:cs="Arial"/>
        </w:rPr>
        <w:t>.</w:t>
      </w:r>
      <w:bookmarkEnd w:id="18"/>
    </w:p>
    <w:p w:rsidR="00263078" w:rsidRPr="001B6B29" w:rsidRDefault="00263078" w:rsidP="001B6B29">
      <w:pPr>
        <w:pStyle w:val="EndNoteBibliography"/>
        <w:spacing w:after="0" w:line="480" w:lineRule="auto"/>
        <w:ind w:left="720" w:hanging="720"/>
        <w:rPr>
          <w:rFonts w:ascii="Arial" w:hAnsi="Arial" w:cs="Arial"/>
        </w:rPr>
      </w:pPr>
      <w:bookmarkStart w:id="19" w:name="_ENREF_3"/>
      <w:r w:rsidRPr="001B6B29">
        <w:rPr>
          <w:rFonts w:ascii="Arial" w:hAnsi="Arial" w:cs="Arial"/>
        </w:rPr>
        <w:t>3.</w:t>
      </w:r>
      <w:r w:rsidRPr="001B6B29">
        <w:rPr>
          <w:rFonts w:ascii="Arial" w:hAnsi="Arial" w:cs="Arial"/>
        </w:rPr>
        <w:tab/>
        <w:t>James WP, Caterson ID, Coutinho W, Finer N, Van Gaal LF, Maggioni AP</w:t>
      </w:r>
      <w:r w:rsidRPr="001B6B29">
        <w:rPr>
          <w:rFonts w:ascii="Arial" w:hAnsi="Arial" w:cs="Arial"/>
          <w:i/>
        </w:rPr>
        <w:t>, et al.</w:t>
      </w:r>
      <w:r w:rsidRPr="001B6B29">
        <w:rPr>
          <w:rFonts w:ascii="Arial" w:hAnsi="Arial" w:cs="Arial"/>
        </w:rPr>
        <w:t xml:space="preserve"> Effect of sibutramine on cardiovascular outcomes in</w:t>
      </w:r>
      <w:r w:rsidR="008B0FC1">
        <w:rPr>
          <w:rFonts w:ascii="Arial" w:hAnsi="Arial" w:cs="Arial"/>
        </w:rPr>
        <w:t xml:space="preserve"> overweight and obese subjects.</w:t>
      </w:r>
      <w:r w:rsidR="008B0FC1">
        <w:rPr>
          <w:rFonts w:ascii="Arial" w:hAnsi="Arial" w:cs="Arial"/>
          <w:i/>
        </w:rPr>
        <w:t xml:space="preserve"> N Engl J Med</w:t>
      </w:r>
      <w:r w:rsidRPr="001B6B29">
        <w:rPr>
          <w:rFonts w:ascii="Arial" w:hAnsi="Arial" w:cs="Arial"/>
        </w:rPr>
        <w:t xml:space="preserve"> 2010, </w:t>
      </w:r>
      <w:r w:rsidRPr="001B6B29">
        <w:rPr>
          <w:rFonts w:ascii="Arial" w:hAnsi="Arial" w:cs="Arial"/>
          <w:b/>
        </w:rPr>
        <w:t>363</w:t>
      </w:r>
      <w:r w:rsidRPr="001B6B29">
        <w:rPr>
          <w:rFonts w:ascii="Arial" w:hAnsi="Arial" w:cs="Arial"/>
        </w:rPr>
        <w:t>(10)</w:t>
      </w:r>
      <w:r w:rsidRPr="001B6B29">
        <w:rPr>
          <w:rFonts w:ascii="Arial" w:hAnsi="Arial" w:cs="Arial"/>
          <w:b/>
        </w:rPr>
        <w:t>:</w:t>
      </w:r>
      <w:r w:rsidRPr="001B6B29">
        <w:rPr>
          <w:rFonts w:ascii="Arial" w:hAnsi="Arial" w:cs="Arial"/>
        </w:rPr>
        <w:t xml:space="preserve"> 905-917.</w:t>
      </w:r>
      <w:bookmarkEnd w:id="19"/>
    </w:p>
    <w:p w:rsidR="00263078" w:rsidRPr="001B6B29" w:rsidRDefault="00263078" w:rsidP="001B6B29">
      <w:pPr>
        <w:pStyle w:val="EndNoteBibliography"/>
        <w:spacing w:after="0" w:line="480" w:lineRule="auto"/>
        <w:ind w:left="720" w:hanging="720"/>
        <w:rPr>
          <w:rFonts w:ascii="Arial" w:hAnsi="Arial" w:cs="Arial"/>
        </w:rPr>
      </w:pPr>
      <w:bookmarkStart w:id="20" w:name="_ENREF_4"/>
      <w:r w:rsidRPr="001B6B29">
        <w:rPr>
          <w:rFonts w:ascii="Arial" w:hAnsi="Arial" w:cs="Arial"/>
        </w:rPr>
        <w:t>4.</w:t>
      </w:r>
      <w:r w:rsidRPr="001B6B29">
        <w:rPr>
          <w:rFonts w:ascii="Arial" w:hAnsi="Arial" w:cs="Arial"/>
        </w:rPr>
        <w:tab/>
        <w:t xml:space="preserve">Cheung BM. Drug treatment for obesity in the post-sibutramine era. </w:t>
      </w:r>
      <w:r w:rsidR="008B0FC1">
        <w:rPr>
          <w:rFonts w:ascii="Arial" w:hAnsi="Arial" w:cs="Arial"/>
          <w:i/>
        </w:rPr>
        <w:t>Drug saf</w:t>
      </w:r>
      <w:r w:rsidRPr="001B6B29">
        <w:rPr>
          <w:rFonts w:ascii="Arial" w:hAnsi="Arial" w:cs="Arial"/>
        </w:rPr>
        <w:t xml:space="preserve"> 2011, </w:t>
      </w:r>
      <w:r w:rsidRPr="001B6B29">
        <w:rPr>
          <w:rFonts w:ascii="Arial" w:hAnsi="Arial" w:cs="Arial"/>
          <w:b/>
        </w:rPr>
        <w:t>34</w:t>
      </w:r>
      <w:r w:rsidRPr="001B6B29">
        <w:rPr>
          <w:rFonts w:ascii="Arial" w:hAnsi="Arial" w:cs="Arial"/>
        </w:rPr>
        <w:t>(8)</w:t>
      </w:r>
      <w:r w:rsidRPr="001B6B29">
        <w:rPr>
          <w:rFonts w:ascii="Arial" w:hAnsi="Arial" w:cs="Arial"/>
          <w:b/>
        </w:rPr>
        <w:t>:</w:t>
      </w:r>
      <w:r w:rsidRPr="001B6B29">
        <w:rPr>
          <w:rFonts w:ascii="Arial" w:hAnsi="Arial" w:cs="Arial"/>
        </w:rPr>
        <w:t xml:space="preserve"> 641-650.</w:t>
      </w:r>
      <w:bookmarkEnd w:id="20"/>
    </w:p>
    <w:p w:rsidR="00263078" w:rsidRPr="001B6B29" w:rsidRDefault="00263078" w:rsidP="001B6B29">
      <w:pPr>
        <w:pStyle w:val="EndNoteBibliography"/>
        <w:spacing w:after="0" w:line="480" w:lineRule="auto"/>
        <w:ind w:left="720" w:hanging="720"/>
        <w:rPr>
          <w:rFonts w:ascii="Arial" w:hAnsi="Arial" w:cs="Arial"/>
        </w:rPr>
      </w:pPr>
      <w:bookmarkStart w:id="21" w:name="_ENREF_5"/>
      <w:r w:rsidRPr="001B6B29">
        <w:rPr>
          <w:rFonts w:ascii="Arial" w:hAnsi="Arial" w:cs="Arial"/>
        </w:rPr>
        <w:t>5.</w:t>
      </w:r>
      <w:r w:rsidRPr="001B6B29">
        <w:rPr>
          <w:rFonts w:ascii="Arial" w:hAnsi="Arial" w:cs="Arial"/>
        </w:rPr>
        <w:tab/>
        <w:t>Caterson ID, Finer N, Coutinho W, Van Gaal LF, Maggioni AP, Torp-Pedersen C</w:t>
      </w:r>
      <w:r w:rsidRPr="001B6B29">
        <w:rPr>
          <w:rFonts w:ascii="Arial" w:hAnsi="Arial" w:cs="Arial"/>
          <w:i/>
        </w:rPr>
        <w:t>, et al.</w:t>
      </w:r>
      <w:r w:rsidRPr="001B6B29">
        <w:rPr>
          <w:rFonts w:ascii="Arial" w:hAnsi="Arial" w:cs="Arial"/>
        </w:rPr>
        <w:t xml:space="preserve"> Maintained intentional weight loss reduces cardiovascular outcomes: results from the Sibutramine Cardiovascular OUTcomes (SCOUT) trial. </w:t>
      </w:r>
      <w:r w:rsidR="008B0FC1" w:rsidRPr="008B0FC1">
        <w:rPr>
          <w:rFonts w:ascii="Arial" w:hAnsi="Arial" w:cs="Arial"/>
          <w:i/>
        </w:rPr>
        <w:t>Diabetes Obes Metab</w:t>
      </w:r>
      <w:r w:rsidR="008B0FC1">
        <w:t xml:space="preserve"> </w:t>
      </w:r>
      <w:r w:rsidRPr="001B6B29">
        <w:rPr>
          <w:rFonts w:ascii="Arial" w:hAnsi="Arial" w:cs="Arial"/>
        </w:rPr>
        <w:t xml:space="preserve">2012, </w:t>
      </w:r>
      <w:r w:rsidRPr="001B6B29">
        <w:rPr>
          <w:rFonts w:ascii="Arial" w:hAnsi="Arial" w:cs="Arial"/>
          <w:b/>
        </w:rPr>
        <w:t>14</w:t>
      </w:r>
      <w:r w:rsidRPr="001B6B29">
        <w:rPr>
          <w:rFonts w:ascii="Arial" w:hAnsi="Arial" w:cs="Arial"/>
        </w:rPr>
        <w:t>(6)</w:t>
      </w:r>
      <w:r w:rsidRPr="001B6B29">
        <w:rPr>
          <w:rFonts w:ascii="Arial" w:hAnsi="Arial" w:cs="Arial"/>
          <w:b/>
        </w:rPr>
        <w:t>:</w:t>
      </w:r>
      <w:r w:rsidRPr="001B6B29">
        <w:rPr>
          <w:rFonts w:ascii="Arial" w:hAnsi="Arial" w:cs="Arial"/>
        </w:rPr>
        <w:t xml:space="preserve"> 523-530.</w:t>
      </w:r>
      <w:bookmarkEnd w:id="21"/>
    </w:p>
    <w:p w:rsidR="00263078" w:rsidRPr="001B6B29" w:rsidRDefault="00263078" w:rsidP="001B6B29">
      <w:pPr>
        <w:pStyle w:val="EndNoteBibliography"/>
        <w:spacing w:after="0" w:line="480" w:lineRule="auto"/>
        <w:ind w:left="720" w:hanging="720"/>
        <w:rPr>
          <w:rFonts w:ascii="Arial" w:hAnsi="Arial" w:cs="Arial"/>
        </w:rPr>
      </w:pPr>
      <w:bookmarkStart w:id="22" w:name="_ENREF_6"/>
      <w:r w:rsidRPr="001B6B29">
        <w:rPr>
          <w:rFonts w:ascii="Arial" w:hAnsi="Arial" w:cs="Arial"/>
        </w:rPr>
        <w:lastRenderedPageBreak/>
        <w:t>6.</w:t>
      </w:r>
      <w:r w:rsidRPr="001B6B29">
        <w:rPr>
          <w:rFonts w:ascii="Arial" w:hAnsi="Arial" w:cs="Arial"/>
        </w:rPr>
        <w:tab/>
        <w:t xml:space="preserve">Czernichow S, Batty GD. Withdrawal of sibutramine for weight loss: where does this leave clinicians? </w:t>
      </w:r>
      <w:r w:rsidRPr="001B6B29">
        <w:rPr>
          <w:rFonts w:ascii="Arial" w:hAnsi="Arial" w:cs="Arial"/>
          <w:i/>
        </w:rPr>
        <w:t>Obesity facts</w:t>
      </w:r>
      <w:r w:rsidRPr="001B6B29">
        <w:rPr>
          <w:rFonts w:ascii="Arial" w:hAnsi="Arial" w:cs="Arial"/>
        </w:rPr>
        <w:t xml:space="preserve"> 2010, </w:t>
      </w:r>
      <w:r w:rsidRPr="001B6B29">
        <w:rPr>
          <w:rFonts w:ascii="Arial" w:hAnsi="Arial" w:cs="Arial"/>
          <w:b/>
        </w:rPr>
        <w:t>3</w:t>
      </w:r>
      <w:r w:rsidRPr="001B6B29">
        <w:rPr>
          <w:rFonts w:ascii="Arial" w:hAnsi="Arial" w:cs="Arial"/>
        </w:rPr>
        <w:t>(3)</w:t>
      </w:r>
      <w:r w:rsidRPr="001B6B29">
        <w:rPr>
          <w:rFonts w:ascii="Arial" w:hAnsi="Arial" w:cs="Arial"/>
          <w:b/>
        </w:rPr>
        <w:t>:</w:t>
      </w:r>
      <w:r w:rsidRPr="001B6B29">
        <w:rPr>
          <w:rFonts w:ascii="Arial" w:hAnsi="Arial" w:cs="Arial"/>
        </w:rPr>
        <w:t xml:space="preserve"> 155-156.</w:t>
      </w:r>
      <w:bookmarkEnd w:id="22"/>
    </w:p>
    <w:p w:rsidR="00263078" w:rsidRPr="001B6B29" w:rsidRDefault="00263078" w:rsidP="001B6B29">
      <w:pPr>
        <w:pStyle w:val="EndNoteBibliography"/>
        <w:spacing w:after="0" w:line="480" w:lineRule="auto"/>
        <w:ind w:left="720" w:hanging="720"/>
        <w:rPr>
          <w:rFonts w:ascii="Arial" w:hAnsi="Arial" w:cs="Arial"/>
        </w:rPr>
      </w:pPr>
      <w:bookmarkStart w:id="23" w:name="_ENREF_7"/>
      <w:r w:rsidRPr="001B6B29">
        <w:rPr>
          <w:rFonts w:ascii="Arial" w:hAnsi="Arial" w:cs="Arial"/>
        </w:rPr>
        <w:t>7.</w:t>
      </w:r>
      <w:r w:rsidRPr="001B6B29">
        <w:rPr>
          <w:rFonts w:ascii="Arial" w:hAnsi="Arial" w:cs="Arial"/>
        </w:rPr>
        <w:tab/>
        <w:t xml:space="preserve">Sayburn A. Withdrawal of sibutramine leaves European doctors with just one obesity drug. </w:t>
      </w:r>
      <w:r w:rsidRPr="001B6B29">
        <w:rPr>
          <w:rFonts w:ascii="Arial" w:hAnsi="Arial" w:cs="Arial"/>
          <w:i/>
        </w:rPr>
        <w:t>BMJ</w:t>
      </w:r>
      <w:r w:rsidRPr="001B6B29">
        <w:rPr>
          <w:rFonts w:ascii="Arial" w:hAnsi="Arial" w:cs="Arial"/>
        </w:rPr>
        <w:t xml:space="preserve"> 2010, </w:t>
      </w:r>
      <w:r w:rsidRPr="001B6B29">
        <w:rPr>
          <w:rFonts w:ascii="Arial" w:hAnsi="Arial" w:cs="Arial"/>
          <w:b/>
        </w:rPr>
        <w:t>340</w:t>
      </w:r>
      <w:r w:rsidRPr="001B6B29">
        <w:rPr>
          <w:rFonts w:ascii="Arial" w:hAnsi="Arial" w:cs="Arial"/>
        </w:rPr>
        <w:t>.</w:t>
      </w:r>
      <w:bookmarkEnd w:id="23"/>
    </w:p>
    <w:p w:rsidR="00263078" w:rsidRPr="001B6B29" w:rsidRDefault="00263078" w:rsidP="001B6B29">
      <w:pPr>
        <w:pStyle w:val="EndNoteBibliography"/>
        <w:spacing w:after="0" w:line="480" w:lineRule="auto"/>
        <w:ind w:left="720" w:hanging="720"/>
        <w:rPr>
          <w:rFonts w:ascii="Arial" w:hAnsi="Arial" w:cs="Arial"/>
        </w:rPr>
      </w:pPr>
      <w:bookmarkStart w:id="24" w:name="_ENREF_8"/>
      <w:r w:rsidRPr="001B6B29">
        <w:rPr>
          <w:rFonts w:ascii="Arial" w:hAnsi="Arial" w:cs="Arial"/>
        </w:rPr>
        <w:t>8.</w:t>
      </w:r>
      <w:r w:rsidRPr="001B6B29">
        <w:rPr>
          <w:rFonts w:ascii="Arial" w:hAnsi="Arial" w:cs="Arial"/>
        </w:rPr>
        <w:tab/>
        <w:t xml:space="preserve">Scheen AJ. Controversy about the cardiovascular safety of sibutramine. </w:t>
      </w:r>
      <w:r w:rsidR="00EF34D5">
        <w:rPr>
          <w:rFonts w:ascii="Arial" w:hAnsi="Arial" w:cs="Arial"/>
          <w:i/>
        </w:rPr>
        <w:t>Drug Saf</w:t>
      </w:r>
      <w:r w:rsidRPr="001B6B29">
        <w:rPr>
          <w:rFonts w:ascii="Arial" w:hAnsi="Arial" w:cs="Arial"/>
        </w:rPr>
        <w:t xml:space="preserve"> 2010, </w:t>
      </w:r>
      <w:r w:rsidRPr="001B6B29">
        <w:rPr>
          <w:rFonts w:ascii="Arial" w:hAnsi="Arial" w:cs="Arial"/>
          <w:b/>
        </w:rPr>
        <w:t>33</w:t>
      </w:r>
      <w:r w:rsidRPr="001B6B29">
        <w:rPr>
          <w:rFonts w:ascii="Arial" w:hAnsi="Arial" w:cs="Arial"/>
        </w:rPr>
        <w:t>(7)</w:t>
      </w:r>
      <w:r w:rsidRPr="001B6B29">
        <w:rPr>
          <w:rFonts w:ascii="Arial" w:hAnsi="Arial" w:cs="Arial"/>
          <w:b/>
        </w:rPr>
        <w:t>:</w:t>
      </w:r>
      <w:r w:rsidRPr="001B6B29">
        <w:rPr>
          <w:rFonts w:ascii="Arial" w:hAnsi="Arial" w:cs="Arial"/>
        </w:rPr>
        <w:t xml:space="preserve"> 615-618.</w:t>
      </w:r>
      <w:bookmarkEnd w:id="24"/>
    </w:p>
    <w:p w:rsidR="00263078" w:rsidRPr="001B6B29" w:rsidRDefault="00263078" w:rsidP="001B6B29">
      <w:pPr>
        <w:pStyle w:val="EndNoteBibliography"/>
        <w:spacing w:after="0" w:line="480" w:lineRule="auto"/>
        <w:ind w:left="720" w:hanging="720"/>
        <w:rPr>
          <w:rFonts w:ascii="Arial" w:hAnsi="Arial" w:cs="Arial"/>
        </w:rPr>
      </w:pPr>
      <w:bookmarkStart w:id="25" w:name="_ENREF_9"/>
      <w:r w:rsidRPr="001B6B29">
        <w:rPr>
          <w:rFonts w:ascii="Arial" w:hAnsi="Arial" w:cs="Arial"/>
        </w:rPr>
        <w:t>9.</w:t>
      </w:r>
      <w:r w:rsidRPr="001B6B29">
        <w:rPr>
          <w:rFonts w:ascii="Arial" w:hAnsi="Arial" w:cs="Arial"/>
        </w:rPr>
        <w:tab/>
        <w:t xml:space="preserve">Douglas IJ BK, Batterham R, Smeeth L. The Effectiveness of Pharmaceutical </w:t>
      </w:r>
      <w:r w:rsidRPr="00EF34D5">
        <w:rPr>
          <w:rFonts w:ascii="Arial" w:hAnsi="Arial" w:cs="Arial"/>
        </w:rPr>
        <w:t>Interventions for Obesity: Weight Loss With Orlistat and Sibutramine in a United Kingdom Population-Based Cohort.</w:t>
      </w:r>
      <w:r w:rsidRPr="00EF34D5">
        <w:rPr>
          <w:rFonts w:ascii="Arial" w:hAnsi="Arial" w:cs="Arial"/>
          <w:i/>
        </w:rPr>
        <w:t xml:space="preserve"> Br J Clin Pharmacol</w:t>
      </w:r>
      <w:r w:rsidR="00EF34D5" w:rsidRPr="00EF34D5">
        <w:rPr>
          <w:rFonts w:ascii="Arial" w:hAnsi="Arial" w:cs="Arial"/>
        </w:rPr>
        <w:t xml:space="preserve"> 2014; e-pub ahead of print 31 December 2014; DOI: 10.1111/bcp.12578</w:t>
      </w:r>
      <w:r w:rsidRPr="001B6B29">
        <w:rPr>
          <w:rFonts w:ascii="Arial" w:hAnsi="Arial" w:cs="Arial"/>
        </w:rPr>
        <w:t>.</w:t>
      </w:r>
      <w:bookmarkEnd w:id="25"/>
    </w:p>
    <w:p w:rsidR="00263078" w:rsidRPr="001B6B29" w:rsidRDefault="00263078" w:rsidP="001B6B29">
      <w:pPr>
        <w:pStyle w:val="EndNoteBibliography"/>
        <w:spacing w:after="0" w:line="480" w:lineRule="auto"/>
        <w:ind w:left="720" w:hanging="720"/>
        <w:rPr>
          <w:rFonts w:ascii="Arial" w:hAnsi="Arial" w:cs="Arial"/>
        </w:rPr>
      </w:pPr>
      <w:bookmarkStart w:id="26" w:name="_ENREF_10"/>
      <w:r w:rsidRPr="001B6B29">
        <w:rPr>
          <w:rFonts w:ascii="Arial" w:hAnsi="Arial" w:cs="Arial"/>
        </w:rPr>
        <w:t>10.</w:t>
      </w:r>
      <w:r w:rsidRPr="001B6B29">
        <w:rPr>
          <w:rFonts w:ascii="Arial" w:hAnsi="Arial" w:cs="Arial"/>
        </w:rPr>
        <w:tab/>
      </w:r>
      <w:r w:rsidR="00EF34D5">
        <w:rPr>
          <w:rFonts w:ascii="Arial" w:hAnsi="Arial" w:cs="Arial"/>
        </w:rPr>
        <w:t>Clinical Practice Research Datalink</w:t>
      </w:r>
      <w:r w:rsidRPr="001B6B29">
        <w:rPr>
          <w:rFonts w:ascii="Arial" w:hAnsi="Arial" w:cs="Arial"/>
        </w:rPr>
        <w:t xml:space="preserve">. http://www.cprd.com. </w:t>
      </w:r>
      <w:bookmarkEnd w:id="26"/>
    </w:p>
    <w:p w:rsidR="00263078" w:rsidRPr="001B6B29" w:rsidRDefault="00263078" w:rsidP="001B6B29">
      <w:pPr>
        <w:pStyle w:val="EndNoteBibliography"/>
        <w:spacing w:after="0" w:line="480" w:lineRule="auto"/>
        <w:ind w:left="720" w:hanging="720"/>
        <w:rPr>
          <w:rFonts w:ascii="Arial" w:hAnsi="Arial" w:cs="Arial"/>
        </w:rPr>
      </w:pPr>
      <w:bookmarkStart w:id="27" w:name="_ENREF_11"/>
      <w:r w:rsidRPr="001B6B29">
        <w:rPr>
          <w:rFonts w:ascii="Arial" w:hAnsi="Arial" w:cs="Arial"/>
        </w:rPr>
        <w:t>11.</w:t>
      </w:r>
      <w:r w:rsidRPr="001B6B29">
        <w:rPr>
          <w:rFonts w:ascii="Arial" w:hAnsi="Arial" w:cs="Arial"/>
        </w:rPr>
        <w:tab/>
        <w:t xml:space="preserve">Williams T, Van Staa T, Puri S, Eaton S. Recent advances in the utility and use of the General Practice Research Database as an example of a UK Primary Care Data resource. </w:t>
      </w:r>
      <w:r w:rsidRPr="001B6B29">
        <w:rPr>
          <w:rFonts w:ascii="Arial" w:hAnsi="Arial" w:cs="Arial"/>
          <w:i/>
        </w:rPr>
        <w:t>Ther Adv in Drug Safety</w:t>
      </w:r>
      <w:r w:rsidRPr="001B6B29">
        <w:rPr>
          <w:rFonts w:ascii="Arial" w:hAnsi="Arial" w:cs="Arial"/>
        </w:rPr>
        <w:t xml:space="preserve"> 2012, </w:t>
      </w:r>
      <w:r w:rsidRPr="001B6B29">
        <w:rPr>
          <w:rFonts w:ascii="Arial" w:hAnsi="Arial" w:cs="Arial"/>
          <w:b/>
        </w:rPr>
        <w:t>3</w:t>
      </w:r>
      <w:r w:rsidRPr="001B6B29">
        <w:rPr>
          <w:rFonts w:ascii="Arial" w:hAnsi="Arial" w:cs="Arial"/>
        </w:rPr>
        <w:t>(2)</w:t>
      </w:r>
      <w:r w:rsidRPr="001B6B29">
        <w:rPr>
          <w:rFonts w:ascii="Arial" w:hAnsi="Arial" w:cs="Arial"/>
          <w:b/>
        </w:rPr>
        <w:t>:</w:t>
      </w:r>
      <w:r w:rsidRPr="001B6B29">
        <w:rPr>
          <w:rFonts w:ascii="Arial" w:hAnsi="Arial" w:cs="Arial"/>
        </w:rPr>
        <w:t xml:space="preserve"> 89-99.</w:t>
      </w:r>
      <w:bookmarkEnd w:id="27"/>
    </w:p>
    <w:p w:rsidR="00263078" w:rsidRPr="001B6B29" w:rsidRDefault="00263078" w:rsidP="001B6B29">
      <w:pPr>
        <w:pStyle w:val="EndNoteBibliography"/>
        <w:spacing w:after="0" w:line="480" w:lineRule="auto"/>
        <w:ind w:left="720" w:hanging="720"/>
        <w:rPr>
          <w:rFonts w:ascii="Arial" w:hAnsi="Arial" w:cs="Arial"/>
        </w:rPr>
      </w:pPr>
      <w:bookmarkStart w:id="28" w:name="_ENREF_12"/>
      <w:r w:rsidRPr="001B6B29">
        <w:rPr>
          <w:rFonts w:ascii="Arial" w:hAnsi="Arial" w:cs="Arial"/>
        </w:rPr>
        <w:t>12.</w:t>
      </w:r>
      <w:r w:rsidRPr="001B6B29">
        <w:rPr>
          <w:rFonts w:ascii="Arial" w:hAnsi="Arial" w:cs="Arial"/>
        </w:rPr>
        <w:tab/>
        <w:t xml:space="preserve">Lawson DH, Sherman V, Hollowell J. The General Practice Research Database. Scientific and Ethical Advisory Group. </w:t>
      </w:r>
      <w:r w:rsidRPr="001B6B29">
        <w:rPr>
          <w:rFonts w:ascii="Arial" w:hAnsi="Arial" w:cs="Arial"/>
          <w:i/>
        </w:rPr>
        <w:t>QJM</w:t>
      </w:r>
      <w:r w:rsidRPr="001B6B29">
        <w:rPr>
          <w:rFonts w:ascii="Arial" w:hAnsi="Arial" w:cs="Arial"/>
        </w:rPr>
        <w:t xml:space="preserve"> 1998, </w:t>
      </w:r>
      <w:r w:rsidRPr="001B6B29">
        <w:rPr>
          <w:rFonts w:ascii="Arial" w:hAnsi="Arial" w:cs="Arial"/>
          <w:b/>
        </w:rPr>
        <w:t>91</w:t>
      </w:r>
      <w:r w:rsidRPr="001B6B29">
        <w:rPr>
          <w:rFonts w:ascii="Arial" w:hAnsi="Arial" w:cs="Arial"/>
        </w:rPr>
        <w:t>(6)</w:t>
      </w:r>
      <w:r w:rsidRPr="001B6B29">
        <w:rPr>
          <w:rFonts w:ascii="Arial" w:hAnsi="Arial" w:cs="Arial"/>
          <w:b/>
        </w:rPr>
        <w:t>:</w:t>
      </w:r>
      <w:r w:rsidRPr="001B6B29">
        <w:rPr>
          <w:rFonts w:ascii="Arial" w:hAnsi="Arial" w:cs="Arial"/>
        </w:rPr>
        <w:t xml:space="preserve"> 445-452.</w:t>
      </w:r>
      <w:bookmarkEnd w:id="28"/>
    </w:p>
    <w:p w:rsidR="00263078" w:rsidRPr="001B6B29" w:rsidRDefault="00263078" w:rsidP="001B6B29">
      <w:pPr>
        <w:pStyle w:val="EndNoteBibliography"/>
        <w:spacing w:after="0" w:line="480" w:lineRule="auto"/>
        <w:ind w:left="720" w:hanging="720"/>
        <w:rPr>
          <w:rFonts w:ascii="Arial" w:hAnsi="Arial" w:cs="Arial"/>
        </w:rPr>
      </w:pPr>
      <w:bookmarkStart w:id="29" w:name="_ENREF_13"/>
      <w:r w:rsidRPr="001B6B29">
        <w:rPr>
          <w:rFonts w:ascii="Arial" w:hAnsi="Arial" w:cs="Arial"/>
        </w:rPr>
        <w:t>13.</w:t>
      </w:r>
      <w:r w:rsidRPr="001B6B29">
        <w:rPr>
          <w:rFonts w:ascii="Arial" w:hAnsi="Arial" w:cs="Arial"/>
        </w:rPr>
        <w:tab/>
        <w:t xml:space="preserve">García Rodríguez LA, Pérez Gutthann S. Use of the UK General Practice Research Database for pharmacoepidemiology. </w:t>
      </w:r>
      <w:r w:rsidR="00EF34D5" w:rsidRPr="00EF34D5">
        <w:rPr>
          <w:rFonts w:ascii="Arial" w:hAnsi="Arial" w:cs="Arial"/>
          <w:i/>
        </w:rPr>
        <w:t>Br J Clin Pharmacol</w:t>
      </w:r>
      <w:r w:rsidR="00EF34D5" w:rsidRPr="00EF34D5">
        <w:rPr>
          <w:rFonts w:ascii="Arial" w:hAnsi="Arial" w:cs="Arial"/>
        </w:rPr>
        <w:t xml:space="preserve"> </w:t>
      </w:r>
      <w:r w:rsidRPr="001B6B29">
        <w:rPr>
          <w:rFonts w:ascii="Arial" w:hAnsi="Arial" w:cs="Arial"/>
        </w:rPr>
        <w:t xml:space="preserve">1998, </w:t>
      </w:r>
      <w:r w:rsidRPr="001B6B29">
        <w:rPr>
          <w:rFonts w:ascii="Arial" w:hAnsi="Arial" w:cs="Arial"/>
          <w:b/>
        </w:rPr>
        <w:t>45</w:t>
      </w:r>
      <w:r w:rsidRPr="001B6B29">
        <w:rPr>
          <w:rFonts w:ascii="Arial" w:hAnsi="Arial" w:cs="Arial"/>
        </w:rPr>
        <w:t>(5)</w:t>
      </w:r>
      <w:r w:rsidRPr="001B6B29">
        <w:rPr>
          <w:rFonts w:ascii="Arial" w:hAnsi="Arial" w:cs="Arial"/>
          <w:b/>
        </w:rPr>
        <w:t>:</w:t>
      </w:r>
      <w:r w:rsidRPr="001B6B29">
        <w:rPr>
          <w:rFonts w:ascii="Arial" w:hAnsi="Arial" w:cs="Arial"/>
        </w:rPr>
        <w:t xml:space="preserve"> 419-425.</w:t>
      </w:r>
      <w:bookmarkEnd w:id="29"/>
    </w:p>
    <w:p w:rsidR="00263078" w:rsidRPr="001B6B29" w:rsidRDefault="00263078" w:rsidP="001B6B29">
      <w:pPr>
        <w:pStyle w:val="EndNoteBibliography"/>
        <w:spacing w:after="0" w:line="480" w:lineRule="auto"/>
        <w:ind w:left="720" w:hanging="720"/>
        <w:rPr>
          <w:rFonts w:ascii="Arial" w:hAnsi="Arial" w:cs="Arial"/>
        </w:rPr>
      </w:pPr>
      <w:bookmarkStart w:id="30" w:name="_ENREF_14"/>
      <w:r w:rsidRPr="001B6B29">
        <w:rPr>
          <w:rFonts w:ascii="Arial" w:hAnsi="Arial" w:cs="Arial"/>
        </w:rPr>
        <w:t>14.</w:t>
      </w:r>
      <w:r w:rsidRPr="001B6B29">
        <w:rPr>
          <w:rFonts w:ascii="Arial" w:hAnsi="Arial" w:cs="Arial"/>
        </w:rPr>
        <w:tab/>
        <w:t xml:space="preserve">Benson T. The history of the Read codes: the inaugural James Read Memorial Lecture 2011. </w:t>
      </w:r>
      <w:r w:rsidRPr="001B6B29">
        <w:rPr>
          <w:rFonts w:ascii="Arial" w:hAnsi="Arial" w:cs="Arial"/>
          <w:i/>
        </w:rPr>
        <w:t>Informatics in primary care</w:t>
      </w:r>
      <w:r w:rsidRPr="001B6B29">
        <w:rPr>
          <w:rFonts w:ascii="Arial" w:hAnsi="Arial" w:cs="Arial"/>
        </w:rPr>
        <w:t xml:space="preserve"> 2011, </w:t>
      </w:r>
      <w:r w:rsidRPr="001B6B29">
        <w:rPr>
          <w:rFonts w:ascii="Arial" w:hAnsi="Arial" w:cs="Arial"/>
          <w:b/>
        </w:rPr>
        <w:t>19</w:t>
      </w:r>
      <w:r w:rsidRPr="001B6B29">
        <w:rPr>
          <w:rFonts w:ascii="Arial" w:hAnsi="Arial" w:cs="Arial"/>
        </w:rPr>
        <w:t>(3)</w:t>
      </w:r>
      <w:r w:rsidRPr="001B6B29">
        <w:rPr>
          <w:rFonts w:ascii="Arial" w:hAnsi="Arial" w:cs="Arial"/>
          <w:b/>
        </w:rPr>
        <w:t>:</w:t>
      </w:r>
      <w:r w:rsidRPr="001B6B29">
        <w:rPr>
          <w:rFonts w:ascii="Arial" w:hAnsi="Arial" w:cs="Arial"/>
        </w:rPr>
        <w:t xml:space="preserve"> 173-182.</w:t>
      </w:r>
      <w:bookmarkEnd w:id="30"/>
    </w:p>
    <w:p w:rsidR="00263078" w:rsidRPr="001B6B29" w:rsidRDefault="00263078" w:rsidP="001B6B29">
      <w:pPr>
        <w:pStyle w:val="EndNoteBibliography"/>
        <w:spacing w:after="0" w:line="480" w:lineRule="auto"/>
        <w:ind w:left="720" w:hanging="720"/>
        <w:rPr>
          <w:rFonts w:ascii="Arial" w:hAnsi="Arial" w:cs="Arial"/>
        </w:rPr>
      </w:pPr>
      <w:bookmarkStart w:id="31" w:name="_ENREF_15"/>
      <w:r w:rsidRPr="001B6B29">
        <w:rPr>
          <w:rFonts w:ascii="Arial" w:hAnsi="Arial" w:cs="Arial"/>
        </w:rPr>
        <w:t>15.</w:t>
      </w:r>
      <w:r w:rsidRPr="001B6B29">
        <w:rPr>
          <w:rFonts w:ascii="Arial" w:hAnsi="Arial" w:cs="Arial"/>
        </w:rPr>
        <w:tab/>
      </w:r>
      <w:r w:rsidR="00DD62A4">
        <w:rPr>
          <w:rFonts w:ascii="Arial" w:hAnsi="Arial" w:cs="Arial"/>
        </w:rPr>
        <w:t xml:space="preserve">The Office </w:t>
      </w:r>
      <w:r w:rsidR="00EF34D5">
        <w:rPr>
          <w:rFonts w:ascii="Arial" w:hAnsi="Arial" w:cs="Arial"/>
        </w:rPr>
        <w:t>f</w:t>
      </w:r>
      <w:r w:rsidR="00DD62A4">
        <w:rPr>
          <w:rFonts w:ascii="Arial" w:hAnsi="Arial" w:cs="Arial"/>
        </w:rPr>
        <w:t>or</w:t>
      </w:r>
      <w:r w:rsidR="00EF34D5">
        <w:rPr>
          <w:rFonts w:ascii="Arial" w:hAnsi="Arial" w:cs="Arial"/>
        </w:rPr>
        <w:t xml:space="preserve"> National Statistics</w:t>
      </w:r>
      <w:r w:rsidRPr="001B6B29">
        <w:rPr>
          <w:rFonts w:ascii="Arial" w:hAnsi="Arial" w:cs="Arial"/>
        </w:rPr>
        <w:t xml:space="preserve">. Key health statistics </w:t>
      </w:r>
      <w:r w:rsidR="00DD62A4">
        <w:rPr>
          <w:rFonts w:ascii="Arial" w:hAnsi="Arial" w:cs="Arial"/>
        </w:rPr>
        <w:t xml:space="preserve">from general practice 1998. The Office for National Statstics: London, UK, </w:t>
      </w:r>
      <w:r w:rsidRPr="001B6B29">
        <w:rPr>
          <w:rFonts w:ascii="Arial" w:hAnsi="Arial" w:cs="Arial"/>
        </w:rPr>
        <w:t>2000.</w:t>
      </w:r>
      <w:bookmarkEnd w:id="31"/>
    </w:p>
    <w:p w:rsidR="00DD62A4" w:rsidRDefault="00263078" w:rsidP="001B6B29">
      <w:pPr>
        <w:pStyle w:val="EndNoteBibliography"/>
        <w:spacing w:after="0" w:line="480" w:lineRule="auto"/>
        <w:ind w:left="720" w:hanging="720"/>
        <w:rPr>
          <w:rFonts w:ascii="Arial" w:hAnsi="Arial" w:cs="Arial"/>
        </w:rPr>
      </w:pPr>
      <w:bookmarkStart w:id="32" w:name="_ENREF_16"/>
      <w:r w:rsidRPr="001B6B29">
        <w:rPr>
          <w:rFonts w:ascii="Arial" w:hAnsi="Arial" w:cs="Arial"/>
        </w:rPr>
        <w:t>16.</w:t>
      </w:r>
      <w:r w:rsidRPr="001B6B29">
        <w:rPr>
          <w:rFonts w:ascii="Arial" w:hAnsi="Arial" w:cs="Arial"/>
        </w:rPr>
        <w:tab/>
        <w:t>L</w:t>
      </w:r>
      <w:r w:rsidR="00DD62A4">
        <w:rPr>
          <w:rFonts w:ascii="Arial" w:hAnsi="Arial" w:cs="Arial"/>
        </w:rPr>
        <w:t xml:space="preserve">ondon </w:t>
      </w:r>
      <w:r w:rsidRPr="001B6B29">
        <w:rPr>
          <w:rFonts w:ascii="Arial" w:hAnsi="Arial" w:cs="Arial"/>
        </w:rPr>
        <w:t>S</w:t>
      </w:r>
      <w:r w:rsidR="00DD62A4">
        <w:rPr>
          <w:rFonts w:ascii="Arial" w:hAnsi="Arial" w:cs="Arial"/>
        </w:rPr>
        <w:t xml:space="preserve">chool of </w:t>
      </w:r>
      <w:r w:rsidRPr="001B6B29">
        <w:rPr>
          <w:rFonts w:ascii="Arial" w:hAnsi="Arial" w:cs="Arial"/>
        </w:rPr>
        <w:t>H</w:t>
      </w:r>
      <w:r w:rsidR="00DD62A4">
        <w:rPr>
          <w:rFonts w:ascii="Arial" w:hAnsi="Arial" w:cs="Arial"/>
        </w:rPr>
        <w:t xml:space="preserve">ygiene and </w:t>
      </w:r>
      <w:r w:rsidRPr="001B6B29">
        <w:rPr>
          <w:rFonts w:ascii="Arial" w:hAnsi="Arial" w:cs="Arial"/>
        </w:rPr>
        <w:t>T</w:t>
      </w:r>
      <w:r w:rsidR="00DD62A4">
        <w:rPr>
          <w:rFonts w:ascii="Arial" w:hAnsi="Arial" w:cs="Arial"/>
        </w:rPr>
        <w:t xml:space="preserve">ropical </w:t>
      </w:r>
      <w:r w:rsidRPr="001B6B29">
        <w:rPr>
          <w:rFonts w:ascii="Arial" w:hAnsi="Arial" w:cs="Arial"/>
        </w:rPr>
        <w:t>M</w:t>
      </w:r>
      <w:r w:rsidR="00DD62A4">
        <w:rPr>
          <w:rFonts w:ascii="Arial" w:hAnsi="Arial" w:cs="Arial"/>
        </w:rPr>
        <w:t>edicine</w:t>
      </w:r>
      <w:r w:rsidRPr="001B6B29">
        <w:rPr>
          <w:rFonts w:ascii="Arial" w:hAnsi="Arial" w:cs="Arial"/>
        </w:rPr>
        <w:t xml:space="preserve">. http://www.lshtm.ac.uk/study/applicants/shortcourses/practical_pharmacoepidemiology__gprd_background.pdf.   </w:t>
      </w:r>
      <w:bookmarkStart w:id="33" w:name="_ENREF_17"/>
      <w:bookmarkEnd w:id="32"/>
    </w:p>
    <w:p w:rsidR="00263078" w:rsidRPr="00DD62A4" w:rsidRDefault="00263078" w:rsidP="001B6B29">
      <w:pPr>
        <w:pStyle w:val="EndNoteBibliography"/>
        <w:spacing w:after="0" w:line="480" w:lineRule="auto"/>
        <w:ind w:left="720" w:hanging="720"/>
        <w:rPr>
          <w:rFonts w:ascii="Arial" w:hAnsi="Arial" w:cs="Arial"/>
        </w:rPr>
      </w:pPr>
      <w:r w:rsidRPr="001B6B29">
        <w:rPr>
          <w:rFonts w:ascii="Arial" w:hAnsi="Arial" w:cs="Arial"/>
        </w:rPr>
        <w:t>17.</w:t>
      </w:r>
      <w:r w:rsidRPr="001B6B29">
        <w:rPr>
          <w:rFonts w:ascii="Arial" w:hAnsi="Arial" w:cs="Arial"/>
        </w:rPr>
        <w:tab/>
        <w:t xml:space="preserve">Scheen AJ. Cardiovascular risk-benefit profile of sibutramine. </w:t>
      </w:r>
      <w:r w:rsidR="00DD62A4" w:rsidRPr="00DD62A4">
        <w:rPr>
          <w:rFonts w:ascii="Arial" w:hAnsi="Arial" w:cs="Arial"/>
          <w:i/>
          <w:iCs/>
        </w:rPr>
        <w:t>Am J Cardiovasc Drugs</w:t>
      </w:r>
      <w:r w:rsidR="00834062">
        <w:rPr>
          <w:rFonts w:ascii="Arial" w:hAnsi="Arial" w:cs="Arial"/>
          <w:i/>
          <w:iCs/>
        </w:rPr>
        <w:t xml:space="preserve"> </w:t>
      </w:r>
      <w:r w:rsidRPr="00DD62A4">
        <w:rPr>
          <w:rFonts w:ascii="Arial" w:hAnsi="Arial" w:cs="Arial"/>
        </w:rPr>
        <w:t xml:space="preserve">2010, </w:t>
      </w:r>
      <w:r w:rsidRPr="00DD62A4">
        <w:rPr>
          <w:rFonts w:ascii="Arial" w:hAnsi="Arial" w:cs="Arial"/>
          <w:b/>
        </w:rPr>
        <w:t>10</w:t>
      </w:r>
      <w:r w:rsidRPr="00DD62A4">
        <w:rPr>
          <w:rFonts w:ascii="Arial" w:hAnsi="Arial" w:cs="Arial"/>
        </w:rPr>
        <w:t>(5)</w:t>
      </w:r>
      <w:r w:rsidRPr="00DD62A4">
        <w:rPr>
          <w:rFonts w:ascii="Arial" w:hAnsi="Arial" w:cs="Arial"/>
          <w:b/>
        </w:rPr>
        <w:t>:</w:t>
      </w:r>
      <w:r w:rsidRPr="00DD62A4">
        <w:rPr>
          <w:rFonts w:ascii="Arial" w:hAnsi="Arial" w:cs="Arial"/>
        </w:rPr>
        <w:t xml:space="preserve"> 321-334.</w:t>
      </w:r>
      <w:bookmarkEnd w:id="33"/>
    </w:p>
    <w:p w:rsidR="00263078" w:rsidRPr="001B6B29" w:rsidRDefault="00263078" w:rsidP="001B6B29">
      <w:pPr>
        <w:pStyle w:val="EndNoteBibliography"/>
        <w:spacing w:after="0" w:line="480" w:lineRule="auto"/>
        <w:ind w:left="720" w:hanging="720"/>
        <w:rPr>
          <w:rFonts w:ascii="Arial" w:hAnsi="Arial" w:cs="Arial"/>
        </w:rPr>
      </w:pPr>
      <w:bookmarkStart w:id="34" w:name="_ENREF_18"/>
      <w:r w:rsidRPr="001B6B29">
        <w:rPr>
          <w:rFonts w:ascii="Arial" w:hAnsi="Arial" w:cs="Arial"/>
        </w:rPr>
        <w:lastRenderedPageBreak/>
        <w:t>18.</w:t>
      </w:r>
      <w:r w:rsidRPr="001B6B29">
        <w:rPr>
          <w:rFonts w:ascii="Arial" w:hAnsi="Arial" w:cs="Arial"/>
        </w:rPr>
        <w:tab/>
        <w:t>White IR, Carlin JB. Bias and efficiency of multiple imputation compared with complete</w:t>
      </w:r>
      <w:r w:rsidRPr="001B6B29">
        <w:rPr>
          <w:rFonts w:ascii="Cambria Math" w:hAnsi="Cambria Math" w:cs="Cambria Math"/>
        </w:rPr>
        <w:t>‐</w:t>
      </w:r>
      <w:r w:rsidRPr="001B6B29">
        <w:rPr>
          <w:rFonts w:ascii="Arial" w:hAnsi="Arial" w:cs="Arial"/>
        </w:rPr>
        <w:t xml:space="preserve">case analysis for missing covariate values. </w:t>
      </w:r>
      <w:r w:rsidR="00834062">
        <w:rPr>
          <w:rFonts w:ascii="Arial" w:hAnsi="Arial" w:cs="Arial"/>
          <w:i/>
        </w:rPr>
        <w:t>Stat Med</w:t>
      </w:r>
      <w:r w:rsidRPr="001B6B29">
        <w:rPr>
          <w:rFonts w:ascii="Arial" w:hAnsi="Arial" w:cs="Arial"/>
        </w:rPr>
        <w:t xml:space="preserve"> 2010, </w:t>
      </w:r>
      <w:r w:rsidRPr="001B6B29">
        <w:rPr>
          <w:rFonts w:ascii="Arial" w:hAnsi="Arial" w:cs="Arial"/>
          <w:b/>
        </w:rPr>
        <w:t>29</w:t>
      </w:r>
      <w:r w:rsidRPr="001B6B29">
        <w:rPr>
          <w:rFonts w:ascii="Arial" w:hAnsi="Arial" w:cs="Arial"/>
        </w:rPr>
        <w:t>(28)</w:t>
      </w:r>
      <w:r w:rsidRPr="001B6B29">
        <w:rPr>
          <w:rFonts w:ascii="Arial" w:hAnsi="Arial" w:cs="Arial"/>
          <w:b/>
        </w:rPr>
        <w:t>:</w:t>
      </w:r>
      <w:r w:rsidRPr="001B6B29">
        <w:rPr>
          <w:rFonts w:ascii="Arial" w:hAnsi="Arial" w:cs="Arial"/>
        </w:rPr>
        <w:t xml:space="preserve"> 2920-2931.</w:t>
      </w:r>
      <w:bookmarkEnd w:id="34"/>
    </w:p>
    <w:p w:rsidR="00263078" w:rsidRPr="001B6B29" w:rsidRDefault="00263078" w:rsidP="001B6B29">
      <w:pPr>
        <w:pStyle w:val="EndNoteBibliography"/>
        <w:spacing w:after="0" w:line="480" w:lineRule="auto"/>
        <w:ind w:left="720" w:hanging="720"/>
        <w:rPr>
          <w:rFonts w:ascii="Arial" w:hAnsi="Arial" w:cs="Arial"/>
        </w:rPr>
      </w:pPr>
      <w:bookmarkStart w:id="35" w:name="_ENREF_19"/>
      <w:r w:rsidRPr="001B6B29">
        <w:rPr>
          <w:rFonts w:ascii="Arial" w:hAnsi="Arial" w:cs="Arial"/>
        </w:rPr>
        <w:t>19.</w:t>
      </w:r>
      <w:r w:rsidRPr="001B6B29">
        <w:rPr>
          <w:rFonts w:ascii="Arial" w:hAnsi="Arial" w:cs="Arial"/>
        </w:rPr>
        <w:tab/>
        <w:t xml:space="preserve">Rosenbaum PR, Rubin DB. The central role of the propensity score in observational studies for causal effects. </w:t>
      </w:r>
      <w:r w:rsidRPr="001B6B29">
        <w:rPr>
          <w:rFonts w:ascii="Arial" w:hAnsi="Arial" w:cs="Arial"/>
          <w:i/>
        </w:rPr>
        <w:t>Biometrika</w:t>
      </w:r>
      <w:r w:rsidRPr="001B6B29">
        <w:rPr>
          <w:rFonts w:ascii="Arial" w:hAnsi="Arial" w:cs="Arial"/>
        </w:rPr>
        <w:t xml:space="preserve"> 1983, </w:t>
      </w:r>
      <w:r w:rsidRPr="001B6B29">
        <w:rPr>
          <w:rFonts w:ascii="Arial" w:hAnsi="Arial" w:cs="Arial"/>
          <w:b/>
        </w:rPr>
        <w:t>70</w:t>
      </w:r>
      <w:r w:rsidRPr="001B6B29">
        <w:rPr>
          <w:rFonts w:ascii="Arial" w:hAnsi="Arial" w:cs="Arial"/>
        </w:rPr>
        <w:t>(1)</w:t>
      </w:r>
      <w:r w:rsidRPr="001B6B29">
        <w:rPr>
          <w:rFonts w:ascii="Arial" w:hAnsi="Arial" w:cs="Arial"/>
          <w:b/>
        </w:rPr>
        <w:t>:</w:t>
      </w:r>
      <w:r w:rsidRPr="001B6B29">
        <w:rPr>
          <w:rFonts w:ascii="Arial" w:hAnsi="Arial" w:cs="Arial"/>
        </w:rPr>
        <w:t xml:space="preserve"> 41-55.</w:t>
      </w:r>
      <w:bookmarkEnd w:id="35"/>
    </w:p>
    <w:p w:rsidR="00263078" w:rsidRPr="001B6B29" w:rsidRDefault="00263078" w:rsidP="001B6B29">
      <w:pPr>
        <w:pStyle w:val="EndNoteBibliography"/>
        <w:spacing w:after="0" w:line="480" w:lineRule="auto"/>
        <w:ind w:left="720" w:hanging="720"/>
        <w:rPr>
          <w:rFonts w:ascii="Arial" w:hAnsi="Arial" w:cs="Arial"/>
        </w:rPr>
      </w:pPr>
      <w:bookmarkStart w:id="36" w:name="_ENREF_20"/>
      <w:r w:rsidRPr="001B6B29">
        <w:rPr>
          <w:rFonts w:ascii="Arial" w:hAnsi="Arial" w:cs="Arial"/>
        </w:rPr>
        <w:t>20.</w:t>
      </w:r>
      <w:r w:rsidRPr="001B6B29">
        <w:rPr>
          <w:rFonts w:ascii="Arial" w:hAnsi="Arial" w:cs="Arial"/>
        </w:rPr>
        <w:tab/>
        <w:t xml:space="preserve">Altman DG, Andersen PK. Calculating the number needed to treat for trials where the outcome is time to an event. </w:t>
      </w:r>
      <w:r w:rsidRPr="001B6B29">
        <w:rPr>
          <w:rFonts w:ascii="Arial" w:hAnsi="Arial" w:cs="Arial"/>
          <w:i/>
        </w:rPr>
        <w:t>B</w:t>
      </w:r>
      <w:r w:rsidR="00834062">
        <w:rPr>
          <w:rFonts w:ascii="Arial" w:hAnsi="Arial" w:cs="Arial"/>
          <w:i/>
        </w:rPr>
        <w:t xml:space="preserve">MJ </w:t>
      </w:r>
      <w:r w:rsidRPr="001B6B29">
        <w:rPr>
          <w:rFonts w:ascii="Arial" w:hAnsi="Arial" w:cs="Arial"/>
        </w:rPr>
        <w:t xml:space="preserve">1999, </w:t>
      </w:r>
      <w:r w:rsidRPr="001B6B29">
        <w:rPr>
          <w:rFonts w:ascii="Arial" w:hAnsi="Arial" w:cs="Arial"/>
          <w:b/>
        </w:rPr>
        <w:t>319</w:t>
      </w:r>
      <w:r w:rsidRPr="001B6B29">
        <w:rPr>
          <w:rFonts w:ascii="Arial" w:hAnsi="Arial" w:cs="Arial"/>
        </w:rPr>
        <w:t>(7223)</w:t>
      </w:r>
      <w:r w:rsidRPr="001B6B29">
        <w:rPr>
          <w:rFonts w:ascii="Arial" w:hAnsi="Arial" w:cs="Arial"/>
          <w:b/>
        </w:rPr>
        <w:t>:</w:t>
      </w:r>
      <w:r w:rsidRPr="001B6B29">
        <w:rPr>
          <w:rFonts w:ascii="Arial" w:hAnsi="Arial" w:cs="Arial"/>
        </w:rPr>
        <w:t xml:space="preserve"> 1492-1495.</w:t>
      </w:r>
      <w:bookmarkEnd w:id="36"/>
    </w:p>
    <w:p w:rsidR="00263078" w:rsidRPr="001B6B29" w:rsidRDefault="00263078" w:rsidP="001B6B29">
      <w:pPr>
        <w:pStyle w:val="EndNoteBibliography"/>
        <w:spacing w:after="0" w:line="480" w:lineRule="auto"/>
        <w:ind w:left="720" w:hanging="720"/>
        <w:rPr>
          <w:rFonts w:ascii="Arial" w:hAnsi="Arial" w:cs="Arial"/>
        </w:rPr>
      </w:pPr>
      <w:bookmarkStart w:id="37" w:name="_ENREF_21"/>
      <w:r w:rsidRPr="001B6B29">
        <w:rPr>
          <w:rFonts w:ascii="Arial" w:hAnsi="Arial" w:cs="Arial"/>
        </w:rPr>
        <w:t>21.</w:t>
      </w:r>
      <w:r w:rsidRPr="001B6B29">
        <w:rPr>
          <w:rFonts w:ascii="Arial" w:hAnsi="Arial" w:cs="Arial"/>
        </w:rPr>
        <w:tab/>
        <w:t>StataCorp. Stata Statistical Software. 13 ed: StataCorp LP; 2009.</w:t>
      </w:r>
      <w:bookmarkEnd w:id="37"/>
    </w:p>
    <w:p w:rsidR="00263078" w:rsidRPr="001B6B29" w:rsidRDefault="00263078" w:rsidP="001B6B29">
      <w:pPr>
        <w:pStyle w:val="EndNoteBibliography"/>
        <w:spacing w:after="0" w:line="480" w:lineRule="auto"/>
        <w:ind w:left="720" w:hanging="720"/>
        <w:rPr>
          <w:rFonts w:ascii="Arial" w:hAnsi="Arial" w:cs="Arial"/>
        </w:rPr>
      </w:pPr>
      <w:bookmarkStart w:id="38" w:name="_ENREF_22"/>
      <w:r w:rsidRPr="001B6B29">
        <w:rPr>
          <w:rFonts w:ascii="Arial" w:hAnsi="Arial" w:cs="Arial"/>
        </w:rPr>
        <w:t>22.</w:t>
      </w:r>
      <w:r w:rsidRPr="001B6B29">
        <w:rPr>
          <w:rFonts w:ascii="Arial" w:hAnsi="Arial" w:cs="Arial"/>
        </w:rPr>
        <w:tab/>
        <w:t>Jick SS, Kaye JA, Vasilakis</w:t>
      </w:r>
      <w:r w:rsidRPr="001B6B29">
        <w:rPr>
          <w:rFonts w:ascii="Cambria Math" w:hAnsi="Cambria Math" w:cs="Cambria Math"/>
        </w:rPr>
        <w:t>‐</w:t>
      </w:r>
      <w:r w:rsidRPr="001B6B29">
        <w:rPr>
          <w:rFonts w:ascii="Arial" w:hAnsi="Arial" w:cs="Arial"/>
        </w:rPr>
        <w:t>Scaramozza C, Rodríguez LAG, Ruigómez A, Meier CR</w:t>
      </w:r>
      <w:r w:rsidRPr="001B6B29">
        <w:rPr>
          <w:rFonts w:ascii="Arial" w:hAnsi="Arial" w:cs="Arial"/>
          <w:i/>
        </w:rPr>
        <w:t>, et al.</w:t>
      </w:r>
      <w:r w:rsidRPr="001B6B29">
        <w:rPr>
          <w:rFonts w:ascii="Arial" w:hAnsi="Arial" w:cs="Arial"/>
        </w:rPr>
        <w:t xml:space="preserve"> Validity of the general practice research database. </w:t>
      </w:r>
      <w:r w:rsidRPr="001B6B29">
        <w:rPr>
          <w:rFonts w:ascii="Arial" w:hAnsi="Arial" w:cs="Arial"/>
          <w:i/>
        </w:rPr>
        <w:t>Pharmacotherapy</w:t>
      </w:r>
      <w:r w:rsidRPr="001B6B29">
        <w:rPr>
          <w:rFonts w:ascii="Arial" w:hAnsi="Arial" w:cs="Arial"/>
        </w:rPr>
        <w:t xml:space="preserve"> 2003, </w:t>
      </w:r>
      <w:r w:rsidRPr="001B6B29">
        <w:rPr>
          <w:rFonts w:ascii="Arial" w:hAnsi="Arial" w:cs="Arial"/>
          <w:b/>
        </w:rPr>
        <w:t>23</w:t>
      </w:r>
      <w:r w:rsidRPr="001B6B29">
        <w:rPr>
          <w:rFonts w:ascii="Arial" w:hAnsi="Arial" w:cs="Arial"/>
        </w:rPr>
        <w:t>(5)</w:t>
      </w:r>
      <w:r w:rsidRPr="001B6B29">
        <w:rPr>
          <w:rFonts w:ascii="Arial" w:hAnsi="Arial" w:cs="Arial"/>
          <w:b/>
        </w:rPr>
        <w:t>:</w:t>
      </w:r>
      <w:r w:rsidRPr="001B6B29">
        <w:rPr>
          <w:rFonts w:ascii="Arial" w:hAnsi="Arial" w:cs="Arial"/>
        </w:rPr>
        <w:t xml:space="preserve"> 686-689.</w:t>
      </w:r>
      <w:bookmarkEnd w:id="38"/>
    </w:p>
    <w:p w:rsidR="00263078" w:rsidRPr="001B6B29" w:rsidRDefault="00263078" w:rsidP="001B6B29">
      <w:pPr>
        <w:pStyle w:val="EndNoteBibliography"/>
        <w:spacing w:after="0" w:line="480" w:lineRule="auto"/>
        <w:ind w:left="720" w:hanging="720"/>
        <w:rPr>
          <w:rFonts w:ascii="Arial" w:hAnsi="Arial" w:cs="Arial"/>
        </w:rPr>
      </w:pPr>
      <w:bookmarkStart w:id="39" w:name="_ENREF_23"/>
      <w:r w:rsidRPr="001B6B29">
        <w:rPr>
          <w:rFonts w:ascii="Arial" w:hAnsi="Arial" w:cs="Arial"/>
        </w:rPr>
        <w:t>23.</w:t>
      </w:r>
      <w:r w:rsidRPr="001B6B29">
        <w:rPr>
          <w:rFonts w:ascii="Arial" w:hAnsi="Arial" w:cs="Arial"/>
        </w:rPr>
        <w:tab/>
        <w:t xml:space="preserve">Padwal R, Kezouh A, Levine M, Etminan M. Long-term persistence with orlistat and sibutramine in a population-based cohort. </w:t>
      </w:r>
      <w:r w:rsidRPr="001B6B29">
        <w:rPr>
          <w:rFonts w:ascii="Arial" w:hAnsi="Arial" w:cs="Arial"/>
          <w:i/>
        </w:rPr>
        <w:t>I</w:t>
      </w:r>
      <w:r w:rsidR="006558FF">
        <w:rPr>
          <w:rFonts w:ascii="Arial" w:hAnsi="Arial" w:cs="Arial"/>
          <w:i/>
        </w:rPr>
        <w:t xml:space="preserve">nt J Obes </w:t>
      </w:r>
      <w:r w:rsidRPr="001B6B29">
        <w:rPr>
          <w:rFonts w:ascii="Arial" w:hAnsi="Arial" w:cs="Arial"/>
        </w:rPr>
        <w:t xml:space="preserve">2007, </w:t>
      </w:r>
      <w:r w:rsidRPr="001B6B29">
        <w:rPr>
          <w:rFonts w:ascii="Arial" w:hAnsi="Arial" w:cs="Arial"/>
          <w:b/>
        </w:rPr>
        <w:t>31</w:t>
      </w:r>
      <w:r w:rsidRPr="001B6B29">
        <w:rPr>
          <w:rFonts w:ascii="Arial" w:hAnsi="Arial" w:cs="Arial"/>
        </w:rPr>
        <w:t>(10)</w:t>
      </w:r>
      <w:r w:rsidRPr="001B6B29">
        <w:rPr>
          <w:rFonts w:ascii="Arial" w:hAnsi="Arial" w:cs="Arial"/>
          <w:b/>
        </w:rPr>
        <w:t>:</w:t>
      </w:r>
      <w:r w:rsidRPr="001B6B29">
        <w:rPr>
          <w:rFonts w:ascii="Arial" w:hAnsi="Arial" w:cs="Arial"/>
        </w:rPr>
        <w:t xml:space="preserve"> 1567-1570.</w:t>
      </w:r>
      <w:bookmarkEnd w:id="39"/>
    </w:p>
    <w:p w:rsidR="00263078" w:rsidRPr="001B6B29" w:rsidRDefault="00263078" w:rsidP="001B6B29">
      <w:pPr>
        <w:pStyle w:val="EndNoteBibliography"/>
        <w:spacing w:after="0" w:line="480" w:lineRule="auto"/>
        <w:ind w:left="720" w:hanging="720"/>
        <w:rPr>
          <w:rFonts w:ascii="Arial" w:hAnsi="Arial" w:cs="Arial"/>
        </w:rPr>
      </w:pPr>
      <w:bookmarkStart w:id="40" w:name="_ENREF_24"/>
      <w:r w:rsidRPr="001B6B29">
        <w:rPr>
          <w:rFonts w:ascii="Arial" w:hAnsi="Arial" w:cs="Arial"/>
        </w:rPr>
        <w:t>24.</w:t>
      </w:r>
      <w:r w:rsidRPr="001B6B29">
        <w:rPr>
          <w:rFonts w:ascii="Arial" w:hAnsi="Arial" w:cs="Arial"/>
        </w:rPr>
        <w:tab/>
        <w:t>Herrett E, Shah AD, Boggon R, Denaxas S, Smeeth L, van Staa T</w:t>
      </w:r>
      <w:r w:rsidRPr="001B6B29">
        <w:rPr>
          <w:rFonts w:ascii="Arial" w:hAnsi="Arial" w:cs="Arial"/>
          <w:i/>
        </w:rPr>
        <w:t>, et al.</w:t>
      </w:r>
      <w:r w:rsidRPr="001B6B29">
        <w:rPr>
          <w:rFonts w:ascii="Arial" w:hAnsi="Arial" w:cs="Arial"/>
        </w:rPr>
        <w:t xml:space="preserve"> Completeness and diagnostic validity of recording acute myocardial infarction events in primary care, hospital care, disease registry, and national mortality records: cohort study. </w:t>
      </w:r>
      <w:r w:rsidRPr="001B6B29">
        <w:rPr>
          <w:rFonts w:ascii="Arial" w:hAnsi="Arial" w:cs="Arial"/>
          <w:i/>
        </w:rPr>
        <w:t>BMJ</w:t>
      </w:r>
      <w:r w:rsidR="006558FF">
        <w:rPr>
          <w:rFonts w:ascii="Arial" w:hAnsi="Arial" w:cs="Arial"/>
          <w:i/>
        </w:rPr>
        <w:t xml:space="preserve"> </w:t>
      </w:r>
      <w:r w:rsidRPr="001B6B29">
        <w:rPr>
          <w:rFonts w:ascii="Arial" w:hAnsi="Arial" w:cs="Arial"/>
        </w:rPr>
        <w:t xml:space="preserve"> 2013, </w:t>
      </w:r>
      <w:r w:rsidRPr="001B6B29">
        <w:rPr>
          <w:rFonts w:ascii="Arial" w:hAnsi="Arial" w:cs="Arial"/>
          <w:b/>
        </w:rPr>
        <w:t>346</w:t>
      </w:r>
      <w:r w:rsidRPr="001B6B29">
        <w:rPr>
          <w:rFonts w:ascii="Arial" w:hAnsi="Arial" w:cs="Arial"/>
        </w:rPr>
        <w:t>.</w:t>
      </w:r>
    </w:p>
    <w:bookmarkEnd w:id="40"/>
    <w:p w:rsidR="00263078" w:rsidRPr="005C06AE" w:rsidRDefault="00263078" w:rsidP="00EF34D5">
      <w:pPr>
        <w:pStyle w:val="EndNoteBibliography"/>
      </w:pPr>
    </w:p>
    <w:p w:rsidR="00263078" w:rsidRDefault="00263078" w:rsidP="00EF34D5">
      <w:pPr>
        <w:spacing w:after="0" w:line="480" w:lineRule="auto"/>
        <w:ind w:left="284"/>
      </w:pPr>
    </w:p>
    <w:p w:rsidR="00263078" w:rsidRDefault="00263078" w:rsidP="00EF34D5"/>
    <w:p w:rsidR="00531CAD" w:rsidRDefault="00531CAD" w:rsidP="00EF34D5"/>
    <w:p w:rsidR="00531CAD" w:rsidRDefault="00531CAD" w:rsidP="00EF34D5"/>
    <w:p w:rsidR="00531CAD" w:rsidRDefault="00531CAD" w:rsidP="00EF34D5"/>
    <w:p w:rsidR="00531CAD" w:rsidRDefault="00531CAD" w:rsidP="00EF34D5"/>
    <w:p w:rsidR="00531CAD" w:rsidRDefault="00531CAD" w:rsidP="00EF34D5"/>
    <w:p w:rsidR="00531CAD" w:rsidRDefault="00531CAD" w:rsidP="00EF34D5"/>
    <w:p w:rsidR="00531CAD" w:rsidRDefault="00531CAD" w:rsidP="00EF34D5"/>
    <w:p w:rsidR="00531CAD" w:rsidRDefault="00531CAD" w:rsidP="00EF34D5"/>
    <w:p w:rsidR="00531CAD" w:rsidRDefault="00531CAD" w:rsidP="00EF34D5"/>
    <w:p w:rsidR="00531CAD" w:rsidRDefault="00531CAD" w:rsidP="00EF34D5"/>
    <w:p w:rsidR="00263078" w:rsidRPr="00531CAD" w:rsidRDefault="00263078" w:rsidP="00531CAD">
      <w:pPr>
        <w:pStyle w:val="Caption"/>
        <w:keepNext/>
        <w:spacing w:after="0" w:line="480" w:lineRule="auto"/>
        <w:rPr>
          <w:i w:val="0"/>
          <w:iCs w:val="0"/>
          <w:color w:val="7F7F7F" w:themeColor="text1" w:themeTint="80"/>
          <w:sz w:val="22"/>
        </w:rPr>
      </w:pPr>
      <w:r w:rsidRPr="002D10EF">
        <w:rPr>
          <w:rStyle w:val="SubtleEmphasis"/>
          <w:i w:val="0"/>
        </w:rPr>
        <w:t xml:space="preserve">Table </w:t>
      </w:r>
      <w:r w:rsidRPr="002D10EF">
        <w:rPr>
          <w:rStyle w:val="SubtleEmphasis"/>
          <w:i w:val="0"/>
        </w:rPr>
        <w:fldChar w:fldCharType="begin"/>
      </w:r>
      <w:r w:rsidRPr="002D10EF">
        <w:rPr>
          <w:rStyle w:val="SubtleEmphasis"/>
          <w:i w:val="0"/>
        </w:rPr>
        <w:instrText xml:space="preserve"> SEQ Table \* ARABIC </w:instrText>
      </w:r>
      <w:r w:rsidRPr="002D10EF">
        <w:rPr>
          <w:rStyle w:val="SubtleEmphasis"/>
          <w:i w:val="0"/>
        </w:rPr>
        <w:fldChar w:fldCharType="separate"/>
      </w:r>
      <w:r>
        <w:rPr>
          <w:rStyle w:val="SubtleEmphasis"/>
          <w:i w:val="0"/>
          <w:noProof/>
        </w:rPr>
        <w:t>1</w:t>
      </w:r>
      <w:r w:rsidRPr="002D10EF">
        <w:rPr>
          <w:rStyle w:val="SubtleEmphasis"/>
          <w:i w:val="0"/>
        </w:rPr>
        <w:fldChar w:fldCharType="end"/>
      </w:r>
      <w:r w:rsidRPr="002D10EF">
        <w:rPr>
          <w:rStyle w:val="SubtleEmphasis"/>
          <w:i w:val="0"/>
        </w:rPr>
        <w:t>. Baseline characteristics b</w:t>
      </w:r>
      <w:r>
        <w:rPr>
          <w:rStyle w:val="SubtleEmphasis"/>
          <w:i w:val="0"/>
        </w:rPr>
        <w:t>y prescribing of sibutramine or</w:t>
      </w:r>
      <w:r w:rsidR="00531CAD">
        <w:rPr>
          <w:rStyle w:val="SubtleEmphasis"/>
          <w:i w:val="0"/>
        </w:rPr>
        <w:t xml:space="preserve"> orlistat</w:t>
      </w:r>
    </w:p>
    <w:p w:rsidR="00930ED3" w:rsidRDefault="00263078" w:rsidP="00531CAD">
      <w:pPr>
        <w:pStyle w:val="Caption"/>
        <w:keepNext/>
        <w:spacing w:after="0" w:line="480" w:lineRule="auto"/>
      </w:pPr>
      <w:r w:rsidRPr="009B6308">
        <w:rPr>
          <w:rStyle w:val="SubtleEmphasis"/>
          <w:i w:val="0"/>
        </w:rPr>
        <w:t xml:space="preserve">Table </w:t>
      </w:r>
      <w:r>
        <w:rPr>
          <w:rStyle w:val="SubtleEmphasis"/>
          <w:i w:val="0"/>
        </w:rPr>
        <w:t>2</w:t>
      </w:r>
      <w:r w:rsidRPr="009B6308">
        <w:rPr>
          <w:rStyle w:val="SubtleEmphasis"/>
          <w:i w:val="0"/>
        </w:rPr>
        <w:t>. Hazard ratios for incident MI/CVE from Cox regression</w:t>
      </w:r>
    </w:p>
    <w:p w:rsidR="00263078" w:rsidRPr="00531CAD" w:rsidRDefault="00263078" w:rsidP="00531CAD">
      <w:pPr>
        <w:pStyle w:val="Caption"/>
        <w:keepNext/>
        <w:spacing w:after="0" w:line="480" w:lineRule="auto"/>
        <w:rPr>
          <w:i w:val="0"/>
          <w:iCs w:val="0"/>
          <w:color w:val="7F7F7F" w:themeColor="text1" w:themeTint="80"/>
          <w:sz w:val="22"/>
        </w:rPr>
      </w:pPr>
      <w:r w:rsidRPr="00A96417">
        <w:rPr>
          <w:rStyle w:val="SubtleEmphasis"/>
          <w:i w:val="0"/>
        </w:rPr>
        <w:t xml:space="preserve">Table </w:t>
      </w:r>
      <w:r>
        <w:rPr>
          <w:rStyle w:val="SubtleEmphasis"/>
          <w:i w:val="0"/>
        </w:rPr>
        <w:t xml:space="preserve">3. Number needed to harm </w:t>
      </w:r>
      <w:r w:rsidRPr="00A96417">
        <w:rPr>
          <w:rStyle w:val="SubtleEmphasis"/>
          <w:i w:val="0"/>
        </w:rPr>
        <w:t xml:space="preserve">with sibutramine by </w:t>
      </w:r>
      <w:r>
        <w:rPr>
          <w:rStyle w:val="SubtleEmphasis"/>
          <w:i w:val="0"/>
        </w:rPr>
        <w:t>cardiovascular</w:t>
      </w:r>
      <w:r w:rsidR="00531CAD">
        <w:rPr>
          <w:rStyle w:val="SubtleEmphasis"/>
          <w:i w:val="0"/>
        </w:rPr>
        <w:t xml:space="preserve"> disease risk group</w:t>
      </w:r>
    </w:p>
    <w:p w:rsidR="00531CAD" w:rsidRDefault="00263078" w:rsidP="00531CAD">
      <w:pPr>
        <w:pStyle w:val="Caption"/>
        <w:keepNext/>
        <w:spacing w:after="0" w:line="480" w:lineRule="auto"/>
        <w:rPr>
          <w:rStyle w:val="SubtleEmphasis"/>
          <w:i w:val="0"/>
        </w:rPr>
      </w:pPr>
      <w:r w:rsidRPr="004043AA">
        <w:rPr>
          <w:rStyle w:val="SubtleEmphasis"/>
          <w:i w:val="0"/>
        </w:rPr>
        <w:t xml:space="preserve">Table </w:t>
      </w:r>
      <w:r>
        <w:rPr>
          <w:rStyle w:val="SubtleEmphasis"/>
          <w:i w:val="0"/>
        </w:rPr>
        <w:t>4</w:t>
      </w:r>
      <w:r w:rsidRPr="004043AA">
        <w:rPr>
          <w:rStyle w:val="SubtleEmphasis"/>
          <w:i w:val="0"/>
        </w:rPr>
        <w:t>. Hazard ratios for all-caus</w:t>
      </w:r>
      <w:r w:rsidR="00B17BBF">
        <w:rPr>
          <w:rStyle w:val="SubtleEmphasis"/>
          <w:i w:val="0"/>
        </w:rPr>
        <w:t>e mortality from Cox regression</w:t>
      </w:r>
    </w:p>
    <w:p w:rsidR="00531CAD" w:rsidRPr="00531CAD" w:rsidRDefault="00531CAD" w:rsidP="00531CAD"/>
    <w:p w:rsidR="00263078" w:rsidRDefault="00263078" w:rsidP="00531CAD">
      <w:pPr>
        <w:spacing w:after="0" w:line="480" w:lineRule="auto"/>
      </w:pPr>
    </w:p>
    <w:p w:rsidR="00B17BBF" w:rsidRPr="00B17BBF" w:rsidRDefault="00263078" w:rsidP="00531CAD">
      <w:pPr>
        <w:spacing w:after="0" w:line="480" w:lineRule="auto"/>
        <w:rPr>
          <w:color w:val="808080" w:themeColor="background1" w:themeShade="80"/>
        </w:rPr>
      </w:pPr>
      <w:r>
        <w:rPr>
          <w:noProof/>
          <w:lang w:eastAsia="en-GB"/>
        </w:rPr>
        <mc:AlternateContent>
          <mc:Choice Requires="wps">
            <w:drawing>
              <wp:anchor distT="0" distB="0" distL="114300" distR="114300" simplePos="0" relativeHeight="251662336" behindDoc="0" locked="0" layoutInCell="1" allowOverlap="1" wp14:anchorId="21B8C5B3" wp14:editId="488537B9">
                <wp:simplePos x="0" y="0"/>
                <wp:positionH relativeFrom="margin">
                  <wp:posOffset>28575</wp:posOffset>
                </wp:positionH>
                <wp:positionV relativeFrom="paragraph">
                  <wp:posOffset>-226695</wp:posOffset>
                </wp:positionV>
                <wp:extent cx="5391150" cy="2286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1150" cy="228600"/>
                        </a:xfrm>
                        <a:prstGeom prst="rect">
                          <a:avLst/>
                        </a:prstGeom>
                        <a:solidFill>
                          <a:prstClr val="white"/>
                        </a:solidFill>
                        <a:ln>
                          <a:noFill/>
                        </a:ln>
                        <a:effectLst/>
                      </wps:spPr>
                      <wps:txbx>
                        <w:txbxContent>
                          <w:p w:rsidR="00B87EEE" w:rsidRPr="004753A7" w:rsidRDefault="00B87EEE" w:rsidP="00EF34D5">
                            <w:pPr>
                              <w:pStyle w:val="Caption"/>
                              <w:jc w:val="both"/>
                              <w:rPr>
                                <w:rStyle w:val="SubtleEmphasis"/>
                                <w:i w:val="0"/>
                                <w:iCs/>
                                <w:szCs w:val="24"/>
                              </w:rPr>
                            </w:pPr>
                            <w:r w:rsidRPr="004753A7">
                              <w:rPr>
                                <w:rStyle w:val="SubtleEmphasis"/>
                                <w:i w:val="0"/>
                              </w:rPr>
                              <w:t>Figure</w:t>
                            </w:r>
                            <w:r>
                              <w:rPr>
                                <w:rStyle w:val="SubtleEmphasis"/>
                                <w:i w:val="0"/>
                              </w:rPr>
                              <w:t xml:space="preserve"> 1</w:t>
                            </w:r>
                            <w:r w:rsidRPr="004753A7">
                              <w:rPr>
                                <w:rStyle w:val="SubtleEmphasis"/>
                                <w:i w:val="0"/>
                              </w:rPr>
                              <w:t xml:space="preserve">. Interaction between sibutramine and history of </w:t>
                            </w:r>
                            <w:r>
                              <w:rPr>
                                <w:rStyle w:val="SubtleEmphasis"/>
                                <w:i w:val="0"/>
                              </w:rPr>
                              <w:t>cardiovascular</w:t>
                            </w:r>
                            <w:r w:rsidRPr="004753A7">
                              <w:rPr>
                                <w:rStyle w:val="SubtleEmphasis"/>
                                <w:i w:val="0"/>
                              </w:rPr>
                              <w:t xml:space="preserve"> disease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2.25pt;margin-top:-17.85pt;width:424.5pt;height: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" stroked="f">
                <v:path arrowok="t"/>
                <v:textbox inset="0,0,0,0">
                  <w:txbxContent>
                    <w:p w:rsidR="00B87EEE" w:rsidRPr="004753A7" w:rsidRDefault="00B87EEE" w:rsidP="00EF34D5">
                      <w:pPr>
                        <w:pStyle w:val="Caption"/>
                        <w:jc w:val="both"/>
                        <w:rPr>
                          <w:rStyle w:val="SubtleEmphasis"/>
                          <w:i w:val="0"/>
                          <w:iCs/>
                          <w:szCs w:val="24"/>
                        </w:rPr>
                      </w:pPr>
                      <w:r w:rsidRPr="004753A7">
                        <w:rPr>
                          <w:rStyle w:val="SubtleEmphasis"/>
                          <w:i w:val="0"/>
                        </w:rPr>
                        <w:t>Figure</w:t>
                      </w:r>
                      <w:r>
                        <w:rPr>
                          <w:rStyle w:val="SubtleEmphasis"/>
                          <w:i w:val="0"/>
                        </w:rPr>
                        <w:t xml:space="preserve"> 1</w:t>
                      </w:r>
                      <w:r w:rsidRPr="004753A7">
                        <w:rPr>
                          <w:rStyle w:val="SubtleEmphasis"/>
                          <w:i w:val="0"/>
                        </w:rPr>
                        <w:t xml:space="preserve">. Interaction between sibutramine and history of </w:t>
                      </w:r>
                      <w:r>
                        <w:rPr>
                          <w:rStyle w:val="SubtleEmphasis"/>
                          <w:i w:val="0"/>
                        </w:rPr>
                        <w:t>cardiovascular</w:t>
                      </w:r>
                      <w:r w:rsidRPr="004753A7">
                        <w:rPr>
                          <w:rStyle w:val="SubtleEmphasis"/>
                          <w:i w:val="0"/>
                        </w:rPr>
                        <w:t xml:space="preserve"> disease</w:t>
                      </w:r>
                    </w:p>
                  </w:txbxContent>
                </v:textbox>
                <w10:wrap anchorx="margin"/>
              </v:shape>
            </w:pict>
          </mc:Fallback>
        </mc:AlternateContent>
      </w:r>
      <w:r w:rsidRPr="00505C81">
        <w:rPr>
          <w:color w:val="808080" w:themeColor="background1" w:themeShade="80"/>
        </w:rPr>
        <w:t xml:space="preserve"> </w:t>
      </w:r>
    </w:p>
    <w:p w:rsidR="00263078" w:rsidRPr="00B17BBF" w:rsidRDefault="00263078" w:rsidP="00531CAD">
      <w:pPr>
        <w:pStyle w:val="Heading2"/>
        <w:spacing w:before="0" w:line="480" w:lineRule="auto"/>
        <w:rPr>
          <w:rFonts w:ascii="Arial" w:hAnsi="Arial" w:cs="Arial"/>
          <w:sz w:val="22"/>
          <w:szCs w:val="22"/>
        </w:rPr>
      </w:pPr>
      <w:r w:rsidRPr="00B17BBF">
        <w:rPr>
          <w:rFonts w:ascii="Arial" w:hAnsi="Arial" w:cs="Arial"/>
          <w:sz w:val="22"/>
          <w:szCs w:val="22"/>
        </w:rPr>
        <w:t xml:space="preserve">Appendix 1 - Propensity score </w:t>
      </w:r>
      <w:r w:rsidR="002C3964" w:rsidRPr="00B17BBF">
        <w:rPr>
          <w:rFonts w:ascii="Arial" w:hAnsi="Arial" w:cs="Arial"/>
          <w:sz w:val="22"/>
          <w:szCs w:val="22"/>
        </w:rPr>
        <w:t xml:space="preserve">by drug </w:t>
      </w:r>
      <w:r w:rsidR="00C03C83">
        <w:rPr>
          <w:rFonts w:ascii="Arial" w:hAnsi="Arial" w:cs="Arial"/>
          <w:sz w:val="22"/>
          <w:szCs w:val="22"/>
        </w:rPr>
        <w:t>exposure</w:t>
      </w:r>
    </w:p>
    <w:p w:rsidR="002F523E" w:rsidRDefault="002F523E"/>
    <w:sectPr w:rsidR="002F523E" w:rsidSect="007B22FF">
      <w:footerReference w:type="default" r:id="rId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EEE" w:rsidRDefault="00B87EEE">
      <w:pPr>
        <w:spacing w:after="0" w:line="240" w:lineRule="auto"/>
      </w:pPr>
      <w:r>
        <w:separator/>
      </w:r>
    </w:p>
  </w:endnote>
  <w:endnote w:type="continuationSeparator" w:id="0">
    <w:p w:rsidR="00B87EEE" w:rsidRDefault="00B87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328556"/>
      <w:docPartObj>
        <w:docPartGallery w:val="Page Numbers (Bottom of Page)"/>
        <w:docPartUnique/>
      </w:docPartObj>
    </w:sdtPr>
    <w:sdtEndPr>
      <w:rPr>
        <w:noProof/>
      </w:rPr>
    </w:sdtEndPr>
    <w:sdtContent>
      <w:p w:rsidR="00B87EEE" w:rsidRDefault="00B87EEE">
        <w:pPr>
          <w:pStyle w:val="Footer"/>
          <w:jc w:val="center"/>
        </w:pPr>
        <w:r>
          <w:fldChar w:fldCharType="begin"/>
        </w:r>
        <w:r>
          <w:instrText xml:space="preserve"> PAGE   \* MERGEFORMAT </w:instrText>
        </w:r>
        <w:r>
          <w:fldChar w:fldCharType="separate"/>
        </w:r>
        <w:r w:rsidR="008439E8">
          <w:rPr>
            <w:noProof/>
          </w:rPr>
          <w:t>2</w:t>
        </w:r>
        <w:r>
          <w:rPr>
            <w:noProof/>
          </w:rPr>
          <w:fldChar w:fldCharType="end"/>
        </w:r>
      </w:p>
    </w:sdtContent>
  </w:sdt>
  <w:p w:rsidR="00B87EEE" w:rsidRDefault="00B87E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EEE" w:rsidRDefault="00B87EEE">
      <w:pPr>
        <w:spacing w:after="0" w:line="240" w:lineRule="auto"/>
      </w:pPr>
      <w:r>
        <w:separator/>
      </w:r>
    </w:p>
  </w:footnote>
  <w:footnote w:type="continuationSeparator" w:id="0">
    <w:p w:rsidR="00B87EEE" w:rsidRDefault="00B87E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4141"/>
    <w:multiLevelType w:val="hybridMultilevel"/>
    <w:tmpl w:val="EEF85E02"/>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B203F2"/>
    <w:multiLevelType w:val="hybridMultilevel"/>
    <w:tmpl w:val="A3324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551E22"/>
    <w:multiLevelType w:val="hybridMultilevel"/>
    <w:tmpl w:val="009009DE"/>
    <w:lvl w:ilvl="0" w:tplc="08090001">
      <w:start w:val="1"/>
      <w:numFmt w:val="bullet"/>
      <w:lvlText w:val=""/>
      <w:lvlJc w:val="left"/>
      <w:pPr>
        <w:ind w:left="219" w:hanging="360"/>
      </w:pPr>
      <w:rPr>
        <w:rFonts w:ascii="Symbol" w:hAnsi="Symbol" w:hint="default"/>
      </w:rPr>
    </w:lvl>
    <w:lvl w:ilvl="1" w:tplc="08090001">
      <w:start w:val="1"/>
      <w:numFmt w:val="bullet"/>
      <w:lvlText w:val=""/>
      <w:lvlJc w:val="left"/>
      <w:pPr>
        <w:ind w:left="939" w:hanging="360"/>
      </w:pPr>
      <w:rPr>
        <w:rFonts w:ascii="Symbol" w:hAnsi="Symbol" w:hint="default"/>
      </w:rPr>
    </w:lvl>
    <w:lvl w:ilvl="2" w:tplc="08090001">
      <w:start w:val="1"/>
      <w:numFmt w:val="bullet"/>
      <w:lvlText w:val=""/>
      <w:lvlJc w:val="left"/>
      <w:pPr>
        <w:ind w:left="1659" w:hanging="180"/>
      </w:pPr>
      <w:rPr>
        <w:rFonts w:ascii="Symbol" w:hAnsi="Symbol" w:hint="default"/>
      </w:rPr>
    </w:lvl>
    <w:lvl w:ilvl="3" w:tplc="0809000F" w:tentative="1">
      <w:start w:val="1"/>
      <w:numFmt w:val="decimal"/>
      <w:lvlText w:val="%4."/>
      <w:lvlJc w:val="left"/>
      <w:pPr>
        <w:ind w:left="2379" w:hanging="360"/>
      </w:pPr>
    </w:lvl>
    <w:lvl w:ilvl="4" w:tplc="08090019" w:tentative="1">
      <w:start w:val="1"/>
      <w:numFmt w:val="lowerLetter"/>
      <w:lvlText w:val="%5."/>
      <w:lvlJc w:val="left"/>
      <w:pPr>
        <w:ind w:left="3099" w:hanging="360"/>
      </w:pPr>
    </w:lvl>
    <w:lvl w:ilvl="5" w:tplc="0809001B" w:tentative="1">
      <w:start w:val="1"/>
      <w:numFmt w:val="lowerRoman"/>
      <w:lvlText w:val="%6."/>
      <w:lvlJc w:val="right"/>
      <w:pPr>
        <w:ind w:left="3819" w:hanging="180"/>
      </w:pPr>
    </w:lvl>
    <w:lvl w:ilvl="6" w:tplc="0809000F" w:tentative="1">
      <w:start w:val="1"/>
      <w:numFmt w:val="decimal"/>
      <w:lvlText w:val="%7."/>
      <w:lvlJc w:val="left"/>
      <w:pPr>
        <w:ind w:left="4539" w:hanging="360"/>
      </w:pPr>
    </w:lvl>
    <w:lvl w:ilvl="7" w:tplc="08090019" w:tentative="1">
      <w:start w:val="1"/>
      <w:numFmt w:val="lowerLetter"/>
      <w:lvlText w:val="%8."/>
      <w:lvlJc w:val="left"/>
      <w:pPr>
        <w:ind w:left="5259" w:hanging="360"/>
      </w:pPr>
    </w:lvl>
    <w:lvl w:ilvl="8" w:tplc="0809001B" w:tentative="1">
      <w:start w:val="1"/>
      <w:numFmt w:val="lowerRoman"/>
      <w:lvlText w:val="%9."/>
      <w:lvlJc w:val="right"/>
      <w:pPr>
        <w:ind w:left="5979" w:hanging="180"/>
      </w:pPr>
    </w:lvl>
  </w:abstractNum>
  <w:abstractNum w:abstractNumId="3">
    <w:nsid w:val="0D883D57"/>
    <w:multiLevelType w:val="hybridMultilevel"/>
    <w:tmpl w:val="FD984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9950F8"/>
    <w:multiLevelType w:val="hybridMultilevel"/>
    <w:tmpl w:val="35FC6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643"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1C7165"/>
    <w:multiLevelType w:val="hybridMultilevel"/>
    <w:tmpl w:val="FAAE757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EC1FA1"/>
    <w:multiLevelType w:val="hybridMultilevel"/>
    <w:tmpl w:val="26C479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370E93"/>
    <w:multiLevelType w:val="hybridMultilevel"/>
    <w:tmpl w:val="A1D61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17074A"/>
    <w:multiLevelType w:val="hybridMultilevel"/>
    <w:tmpl w:val="975884DA"/>
    <w:lvl w:ilvl="0" w:tplc="08090001">
      <w:start w:val="1"/>
      <w:numFmt w:val="bullet"/>
      <w:lvlText w:val=""/>
      <w:lvlJc w:val="left"/>
      <w:pPr>
        <w:ind w:left="219" w:hanging="360"/>
      </w:pPr>
      <w:rPr>
        <w:rFonts w:ascii="Symbol" w:hAnsi="Symbol" w:hint="default"/>
      </w:rPr>
    </w:lvl>
    <w:lvl w:ilvl="1" w:tplc="08090003">
      <w:start w:val="1"/>
      <w:numFmt w:val="bullet"/>
      <w:lvlText w:val="o"/>
      <w:lvlJc w:val="left"/>
      <w:pPr>
        <w:ind w:left="939" w:hanging="360"/>
      </w:pPr>
      <w:rPr>
        <w:rFonts w:ascii="Courier New" w:hAnsi="Courier New" w:cs="Courier New" w:hint="default"/>
      </w:rPr>
    </w:lvl>
    <w:lvl w:ilvl="2" w:tplc="08090001">
      <w:start w:val="1"/>
      <w:numFmt w:val="bullet"/>
      <w:lvlText w:val=""/>
      <w:lvlJc w:val="left"/>
      <w:pPr>
        <w:ind w:left="1659" w:hanging="180"/>
      </w:pPr>
      <w:rPr>
        <w:rFonts w:ascii="Symbol" w:hAnsi="Symbol" w:hint="default"/>
      </w:rPr>
    </w:lvl>
    <w:lvl w:ilvl="3" w:tplc="0809000F" w:tentative="1">
      <w:start w:val="1"/>
      <w:numFmt w:val="decimal"/>
      <w:lvlText w:val="%4."/>
      <w:lvlJc w:val="left"/>
      <w:pPr>
        <w:ind w:left="2379" w:hanging="360"/>
      </w:pPr>
    </w:lvl>
    <w:lvl w:ilvl="4" w:tplc="08090019" w:tentative="1">
      <w:start w:val="1"/>
      <w:numFmt w:val="lowerLetter"/>
      <w:lvlText w:val="%5."/>
      <w:lvlJc w:val="left"/>
      <w:pPr>
        <w:ind w:left="3099" w:hanging="360"/>
      </w:pPr>
    </w:lvl>
    <w:lvl w:ilvl="5" w:tplc="0809001B" w:tentative="1">
      <w:start w:val="1"/>
      <w:numFmt w:val="lowerRoman"/>
      <w:lvlText w:val="%6."/>
      <w:lvlJc w:val="right"/>
      <w:pPr>
        <w:ind w:left="3819" w:hanging="180"/>
      </w:pPr>
    </w:lvl>
    <w:lvl w:ilvl="6" w:tplc="0809000F" w:tentative="1">
      <w:start w:val="1"/>
      <w:numFmt w:val="decimal"/>
      <w:lvlText w:val="%7."/>
      <w:lvlJc w:val="left"/>
      <w:pPr>
        <w:ind w:left="4539" w:hanging="360"/>
      </w:pPr>
    </w:lvl>
    <w:lvl w:ilvl="7" w:tplc="08090019" w:tentative="1">
      <w:start w:val="1"/>
      <w:numFmt w:val="lowerLetter"/>
      <w:lvlText w:val="%8."/>
      <w:lvlJc w:val="left"/>
      <w:pPr>
        <w:ind w:left="5259" w:hanging="360"/>
      </w:pPr>
    </w:lvl>
    <w:lvl w:ilvl="8" w:tplc="0809001B" w:tentative="1">
      <w:start w:val="1"/>
      <w:numFmt w:val="lowerRoman"/>
      <w:lvlText w:val="%9."/>
      <w:lvlJc w:val="right"/>
      <w:pPr>
        <w:ind w:left="5979" w:hanging="180"/>
      </w:pPr>
    </w:lvl>
  </w:abstractNum>
  <w:abstractNum w:abstractNumId="9">
    <w:nsid w:val="1FA53526"/>
    <w:multiLevelType w:val="hybridMultilevel"/>
    <w:tmpl w:val="6EC62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865F39"/>
    <w:multiLevelType w:val="hybridMultilevel"/>
    <w:tmpl w:val="A6768D1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99246E3"/>
    <w:multiLevelType w:val="multilevel"/>
    <w:tmpl w:val="3C1EB788"/>
    <w:lvl w:ilvl="0">
      <w:start w:val="4"/>
      <w:numFmt w:val="decimal"/>
      <w:lvlText w:val="%1."/>
      <w:lvlJc w:val="left"/>
      <w:pPr>
        <w:ind w:left="501" w:hanging="360"/>
      </w:pPr>
      <w:rPr>
        <w:rFonts w:hint="default"/>
      </w:rPr>
    </w:lvl>
    <w:lvl w:ilvl="1">
      <w:start w:val="3"/>
      <w:numFmt w:val="decimal"/>
      <w:isLgl/>
      <w:lvlText w:val="%1.%2"/>
      <w:lvlJc w:val="left"/>
      <w:pPr>
        <w:ind w:left="801" w:hanging="66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12">
    <w:nsid w:val="3B532F7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2834D5F"/>
    <w:multiLevelType w:val="hybridMultilevel"/>
    <w:tmpl w:val="DA8EF352"/>
    <w:lvl w:ilvl="0" w:tplc="367A795A">
      <w:start w:val="6736"/>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4802714"/>
    <w:multiLevelType w:val="hybridMultilevel"/>
    <w:tmpl w:val="90F80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D433A9D"/>
    <w:multiLevelType w:val="hybridMultilevel"/>
    <w:tmpl w:val="D092EFE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34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27D4B6B"/>
    <w:multiLevelType w:val="hybridMultilevel"/>
    <w:tmpl w:val="F604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67E5A3A"/>
    <w:multiLevelType w:val="hybridMultilevel"/>
    <w:tmpl w:val="80EA0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D433037"/>
    <w:multiLevelType w:val="multilevel"/>
    <w:tmpl w:val="BE404F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2967167"/>
    <w:multiLevelType w:val="hybridMultilevel"/>
    <w:tmpl w:val="3AF2A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3E6324"/>
    <w:multiLevelType w:val="hybridMultilevel"/>
    <w:tmpl w:val="2E78F9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46E2737"/>
    <w:multiLevelType w:val="hybridMultilevel"/>
    <w:tmpl w:val="4F06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5F53CE3"/>
    <w:multiLevelType w:val="hybridMultilevel"/>
    <w:tmpl w:val="994CA636"/>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8107A5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D5E70F2"/>
    <w:multiLevelType w:val="hybridMultilevel"/>
    <w:tmpl w:val="6DBC1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053025F"/>
    <w:multiLevelType w:val="hybridMultilevel"/>
    <w:tmpl w:val="B95215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11A346B"/>
    <w:multiLevelType w:val="hybridMultilevel"/>
    <w:tmpl w:val="F0EC1B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3D914A6"/>
    <w:multiLevelType w:val="hybridMultilevel"/>
    <w:tmpl w:val="76204C0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91C8432A">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5AE7486"/>
    <w:multiLevelType w:val="hybridMultilevel"/>
    <w:tmpl w:val="5B3C6DEA"/>
    <w:lvl w:ilvl="0" w:tplc="4FEEB1CC">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F3B50EA"/>
    <w:multiLevelType w:val="multilevel"/>
    <w:tmpl w:val="F46EAE3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6"/>
  </w:num>
  <w:num w:numId="3">
    <w:abstractNumId w:val="9"/>
  </w:num>
  <w:num w:numId="4">
    <w:abstractNumId w:val="24"/>
  </w:num>
  <w:num w:numId="5">
    <w:abstractNumId w:val="19"/>
  </w:num>
  <w:num w:numId="6">
    <w:abstractNumId w:val="16"/>
  </w:num>
  <w:num w:numId="7">
    <w:abstractNumId w:val="23"/>
  </w:num>
  <w:num w:numId="8">
    <w:abstractNumId w:val="17"/>
  </w:num>
  <w:num w:numId="9">
    <w:abstractNumId w:val="7"/>
  </w:num>
  <w:num w:numId="10">
    <w:abstractNumId w:val="4"/>
  </w:num>
  <w:num w:numId="11">
    <w:abstractNumId w:val="27"/>
  </w:num>
  <w:num w:numId="12">
    <w:abstractNumId w:val="5"/>
  </w:num>
  <w:num w:numId="13">
    <w:abstractNumId w:val="10"/>
  </w:num>
  <w:num w:numId="14">
    <w:abstractNumId w:val="2"/>
  </w:num>
  <w:num w:numId="15">
    <w:abstractNumId w:val="12"/>
  </w:num>
  <w:num w:numId="16">
    <w:abstractNumId w:val="3"/>
  </w:num>
  <w:num w:numId="17">
    <w:abstractNumId w:val="18"/>
  </w:num>
  <w:num w:numId="18">
    <w:abstractNumId w:val="29"/>
  </w:num>
  <w:num w:numId="19">
    <w:abstractNumId w:val="11"/>
  </w:num>
  <w:num w:numId="20">
    <w:abstractNumId w:val="15"/>
  </w:num>
  <w:num w:numId="21">
    <w:abstractNumId w:val="13"/>
  </w:num>
  <w:num w:numId="22">
    <w:abstractNumId w:val="8"/>
  </w:num>
  <w:num w:numId="23">
    <w:abstractNumId w:val="20"/>
  </w:num>
  <w:num w:numId="24">
    <w:abstractNumId w:val="22"/>
  </w:num>
  <w:num w:numId="25">
    <w:abstractNumId w:val="0"/>
  </w:num>
  <w:num w:numId="26">
    <w:abstractNumId w:val="26"/>
  </w:num>
  <w:num w:numId="27">
    <w:abstractNumId w:val="1"/>
  </w:num>
  <w:num w:numId="28">
    <w:abstractNumId w:val="25"/>
  </w:num>
  <w:num w:numId="29">
    <w:abstractNumId w:val="21"/>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263078"/>
    <w:rsid w:val="00013C72"/>
    <w:rsid w:val="000A3C71"/>
    <w:rsid w:val="00167348"/>
    <w:rsid w:val="001B6B29"/>
    <w:rsid w:val="00263078"/>
    <w:rsid w:val="002757D0"/>
    <w:rsid w:val="002C3964"/>
    <w:rsid w:val="002F523E"/>
    <w:rsid w:val="00402183"/>
    <w:rsid w:val="004A5A28"/>
    <w:rsid w:val="004D641A"/>
    <w:rsid w:val="00531CAD"/>
    <w:rsid w:val="00645BA6"/>
    <w:rsid w:val="006558FF"/>
    <w:rsid w:val="00694B96"/>
    <w:rsid w:val="00783029"/>
    <w:rsid w:val="007B22FF"/>
    <w:rsid w:val="007F4CAC"/>
    <w:rsid w:val="00834062"/>
    <w:rsid w:val="0084210B"/>
    <w:rsid w:val="008439E8"/>
    <w:rsid w:val="008B0FC1"/>
    <w:rsid w:val="00930ED3"/>
    <w:rsid w:val="00B17BBF"/>
    <w:rsid w:val="00B87EEE"/>
    <w:rsid w:val="00C03C83"/>
    <w:rsid w:val="00C633C6"/>
    <w:rsid w:val="00C920EF"/>
    <w:rsid w:val="00DA31AE"/>
    <w:rsid w:val="00DD62A4"/>
    <w:rsid w:val="00E2185D"/>
    <w:rsid w:val="00E81190"/>
    <w:rsid w:val="00ED6215"/>
    <w:rsid w:val="00EF3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078"/>
    <w:pPr>
      <w:spacing w:after="240" w:line="360" w:lineRule="auto"/>
    </w:pPr>
    <w:rPr>
      <w:rFonts w:ascii="Arial" w:hAnsi="Arial" w:cstheme="minorHAnsi"/>
      <w:szCs w:val="24"/>
    </w:rPr>
  </w:style>
  <w:style w:type="paragraph" w:styleId="Heading1">
    <w:name w:val="heading 1"/>
    <w:basedOn w:val="Normal"/>
    <w:next w:val="Normal"/>
    <w:link w:val="Heading1Char"/>
    <w:uiPriority w:val="9"/>
    <w:qFormat/>
    <w:rsid w:val="00263078"/>
    <w:pPr>
      <w:keepNext/>
      <w:keepLines/>
      <w:spacing w:before="480" w:line="259" w:lineRule="auto"/>
      <w:outlineLvl w:val="0"/>
    </w:pPr>
    <w:rPr>
      <w:rFonts w:ascii="Cambria" w:eastAsiaTheme="majorEastAsia" w:hAnsi="Cambria" w:cstheme="majorBidi"/>
      <w:sz w:val="36"/>
      <w:szCs w:val="32"/>
    </w:rPr>
  </w:style>
  <w:style w:type="paragraph" w:styleId="Heading2">
    <w:name w:val="heading 2"/>
    <w:basedOn w:val="Normal"/>
    <w:next w:val="Normal"/>
    <w:link w:val="Heading2Char"/>
    <w:uiPriority w:val="9"/>
    <w:unhideWhenUsed/>
    <w:qFormat/>
    <w:rsid w:val="00263078"/>
    <w:pPr>
      <w:keepNext/>
      <w:keepLines/>
      <w:spacing w:before="40" w:after="0" w:line="259" w:lineRule="auto"/>
      <w:outlineLvl w:val="1"/>
    </w:pPr>
    <w:rPr>
      <w:rFonts w:ascii="Cambria" w:eastAsiaTheme="majorEastAsia" w:hAnsi="Cambria" w:cstheme="majorBidi"/>
      <w:color w:val="808080" w:themeColor="background1" w:themeShade="80"/>
      <w:sz w:val="28"/>
      <w:szCs w:val="26"/>
    </w:rPr>
  </w:style>
  <w:style w:type="paragraph" w:styleId="Heading3">
    <w:name w:val="heading 3"/>
    <w:basedOn w:val="Normal"/>
    <w:next w:val="Normal"/>
    <w:link w:val="Heading3Char"/>
    <w:uiPriority w:val="9"/>
    <w:unhideWhenUsed/>
    <w:qFormat/>
    <w:rsid w:val="00263078"/>
    <w:pPr>
      <w:keepNext/>
      <w:keepLines/>
      <w:spacing w:before="160" w:after="120" w:line="259" w:lineRule="auto"/>
      <w:outlineLvl w:val="2"/>
    </w:pPr>
    <w:rPr>
      <w:rFonts w:ascii="Cambria" w:eastAsiaTheme="majorEastAsia" w:hAnsi="Cambria" w:cstheme="majorBidi"/>
      <w:color w:val="404040" w:themeColor="text1" w:themeTint="BF"/>
      <w:sz w:val="36"/>
    </w:rPr>
  </w:style>
  <w:style w:type="paragraph" w:styleId="Heading4">
    <w:name w:val="heading 4"/>
    <w:basedOn w:val="Normal"/>
    <w:next w:val="Normal"/>
    <w:link w:val="Heading4Char"/>
    <w:uiPriority w:val="9"/>
    <w:unhideWhenUsed/>
    <w:qFormat/>
    <w:rsid w:val="00263078"/>
    <w:pPr>
      <w:keepNext/>
      <w:keepLines/>
      <w:spacing w:before="40" w:after="0"/>
      <w:outlineLvl w:val="3"/>
    </w:pPr>
    <w:rPr>
      <w:rFonts w:asciiTheme="majorHAnsi" w:eastAsiaTheme="majorEastAsia" w:hAnsiTheme="majorHAnsi" w:cstheme="majorBidi"/>
      <w:iCs/>
      <w:color w:val="7F7F7F" w:themeColor="text1" w:themeTint="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078"/>
    <w:rPr>
      <w:rFonts w:ascii="Cambria" w:eastAsiaTheme="majorEastAsia" w:hAnsi="Cambria" w:cstheme="majorBidi"/>
      <w:sz w:val="36"/>
      <w:szCs w:val="32"/>
    </w:rPr>
  </w:style>
  <w:style w:type="character" w:customStyle="1" w:styleId="Heading2Char">
    <w:name w:val="Heading 2 Char"/>
    <w:basedOn w:val="DefaultParagraphFont"/>
    <w:link w:val="Heading2"/>
    <w:uiPriority w:val="9"/>
    <w:rsid w:val="00263078"/>
    <w:rPr>
      <w:rFonts w:ascii="Cambria" w:eastAsiaTheme="majorEastAsia" w:hAnsi="Cambria" w:cstheme="majorBidi"/>
      <w:color w:val="808080" w:themeColor="background1" w:themeShade="80"/>
      <w:sz w:val="28"/>
      <w:szCs w:val="26"/>
    </w:rPr>
  </w:style>
  <w:style w:type="character" w:customStyle="1" w:styleId="Heading3Char">
    <w:name w:val="Heading 3 Char"/>
    <w:basedOn w:val="DefaultParagraphFont"/>
    <w:link w:val="Heading3"/>
    <w:uiPriority w:val="9"/>
    <w:rsid w:val="00263078"/>
    <w:rPr>
      <w:rFonts w:ascii="Cambria" w:eastAsiaTheme="majorEastAsia" w:hAnsi="Cambria" w:cstheme="majorBidi"/>
      <w:color w:val="404040" w:themeColor="text1" w:themeTint="BF"/>
      <w:sz w:val="36"/>
      <w:szCs w:val="24"/>
    </w:rPr>
  </w:style>
  <w:style w:type="character" w:customStyle="1" w:styleId="Heading4Char">
    <w:name w:val="Heading 4 Char"/>
    <w:basedOn w:val="DefaultParagraphFont"/>
    <w:link w:val="Heading4"/>
    <w:uiPriority w:val="9"/>
    <w:rsid w:val="00263078"/>
    <w:rPr>
      <w:rFonts w:asciiTheme="majorHAnsi" w:eastAsiaTheme="majorEastAsia" w:hAnsiTheme="majorHAnsi" w:cstheme="majorBidi"/>
      <w:iCs/>
      <w:color w:val="7F7F7F" w:themeColor="text1" w:themeTint="80"/>
      <w:sz w:val="28"/>
      <w:szCs w:val="24"/>
    </w:rPr>
  </w:style>
  <w:style w:type="paragraph" w:styleId="BalloonText">
    <w:name w:val="Balloon Text"/>
    <w:basedOn w:val="Normal"/>
    <w:link w:val="BalloonTextChar"/>
    <w:uiPriority w:val="99"/>
    <w:semiHidden/>
    <w:unhideWhenUsed/>
    <w:rsid w:val="00263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078"/>
    <w:rPr>
      <w:rFonts w:ascii="Tahoma" w:hAnsi="Tahoma" w:cs="Tahoma"/>
      <w:sz w:val="16"/>
      <w:szCs w:val="16"/>
    </w:rPr>
  </w:style>
  <w:style w:type="paragraph" w:customStyle="1" w:styleId="Coversheet">
    <w:name w:val="Coversheet"/>
    <w:basedOn w:val="Normal"/>
    <w:link w:val="CoversheetChar"/>
    <w:qFormat/>
    <w:rsid w:val="00263078"/>
    <w:pPr>
      <w:spacing w:before="120" w:after="120"/>
      <w:jc w:val="center"/>
    </w:pPr>
    <w:rPr>
      <w:sz w:val="44"/>
    </w:rPr>
  </w:style>
  <w:style w:type="character" w:customStyle="1" w:styleId="CoversheetChar">
    <w:name w:val="Coversheet Char"/>
    <w:basedOn w:val="DefaultParagraphFont"/>
    <w:link w:val="Coversheet"/>
    <w:rsid w:val="00263078"/>
    <w:rPr>
      <w:rFonts w:ascii="Arial" w:hAnsi="Arial" w:cstheme="minorHAnsi"/>
      <w:sz w:val="44"/>
      <w:szCs w:val="24"/>
    </w:rPr>
  </w:style>
  <w:style w:type="paragraph" w:customStyle="1" w:styleId="Default">
    <w:name w:val="Default"/>
    <w:rsid w:val="00263078"/>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263078"/>
    <w:rPr>
      <w:color w:val="0000FF"/>
      <w:u w:val="single"/>
    </w:rPr>
  </w:style>
  <w:style w:type="paragraph" w:customStyle="1" w:styleId="EndNoteBibliography">
    <w:name w:val="EndNote Bibliography"/>
    <w:basedOn w:val="Normal"/>
    <w:link w:val="EndNoteBibliographyChar"/>
    <w:rsid w:val="00263078"/>
    <w:pPr>
      <w:spacing w:after="160" w:line="240" w:lineRule="auto"/>
    </w:pPr>
    <w:rPr>
      <w:rFonts w:ascii="Calibri" w:hAnsi="Calibri" w:cs="Calibri"/>
      <w:noProof/>
      <w:szCs w:val="22"/>
      <w:lang w:val="en-US"/>
    </w:rPr>
  </w:style>
  <w:style w:type="character" w:customStyle="1" w:styleId="EndNoteBibliographyChar">
    <w:name w:val="EndNote Bibliography Char"/>
    <w:basedOn w:val="DefaultParagraphFont"/>
    <w:link w:val="EndNoteBibliography"/>
    <w:rsid w:val="00263078"/>
    <w:rPr>
      <w:rFonts w:ascii="Calibri" w:hAnsi="Calibri" w:cs="Calibri"/>
      <w:noProof/>
      <w:lang w:val="en-US"/>
    </w:rPr>
  </w:style>
  <w:style w:type="paragraph" w:styleId="ListParagraph">
    <w:name w:val="List Paragraph"/>
    <w:basedOn w:val="Normal"/>
    <w:uiPriority w:val="34"/>
    <w:qFormat/>
    <w:rsid w:val="00263078"/>
    <w:pPr>
      <w:spacing w:after="160" w:line="259" w:lineRule="auto"/>
      <w:ind w:left="720"/>
      <w:contextualSpacing/>
    </w:pPr>
    <w:rPr>
      <w:rFonts w:asciiTheme="minorHAnsi" w:hAnsiTheme="minorHAnsi" w:cstheme="minorBidi"/>
      <w:szCs w:val="22"/>
    </w:rPr>
  </w:style>
  <w:style w:type="paragraph" w:styleId="Header">
    <w:name w:val="header"/>
    <w:basedOn w:val="Normal"/>
    <w:link w:val="HeaderChar"/>
    <w:uiPriority w:val="99"/>
    <w:unhideWhenUsed/>
    <w:rsid w:val="002630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078"/>
    <w:rPr>
      <w:rFonts w:ascii="Arial" w:hAnsi="Arial" w:cstheme="minorHAnsi"/>
      <w:szCs w:val="24"/>
    </w:rPr>
  </w:style>
  <w:style w:type="paragraph" w:styleId="Footer">
    <w:name w:val="footer"/>
    <w:basedOn w:val="Normal"/>
    <w:link w:val="FooterChar"/>
    <w:uiPriority w:val="99"/>
    <w:unhideWhenUsed/>
    <w:rsid w:val="002630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078"/>
    <w:rPr>
      <w:rFonts w:ascii="Arial" w:hAnsi="Arial" w:cstheme="minorHAnsi"/>
      <w:szCs w:val="24"/>
    </w:rPr>
  </w:style>
  <w:style w:type="paragraph" w:customStyle="1" w:styleId="EndNoteBibliographyTitle">
    <w:name w:val="EndNote Bibliography Title"/>
    <w:basedOn w:val="Normal"/>
    <w:link w:val="EndNoteBibliographyTitleChar"/>
    <w:rsid w:val="0026307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63078"/>
    <w:rPr>
      <w:rFonts w:ascii="Calibri" w:hAnsi="Calibri" w:cs="Calibri"/>
      <w:noProof/>
      <w:szCs w:val="24"/>
      <w:lang w:val="en-US"/>
    </w:rPr>
  </w:style>
  <w:style w:type="paragraph" w:styleId="NoSpacing">
    <w:name w:val="No Spacing"/>
    <w:uiPriority w:val="1"/>
    <w:qFormat/>
    <w:rsid w:val="00263078"/>
    <w:pPr>
      <w:spacing w:after="0" w:line="240" w:lineRule="auto"/>
    </w:pPr>
    <w:rPr>
      <w:rFonts w:cstheme="minorHAnsi"/>
      <w:szCs w:val="24"/>
    </w:rPr>
  </w:style>
  <w:style w:type="paragraph" w:styleId="Caption">
    <w:name w:val="caption"/>
    <w:basedOn w:val="Normal"/>
    <w:next w:val="Normal"/>
    <w:uiPriority w:val="35"/>
    <w:unhideWhenUsed/>
    <w:qFormat/>
    <w:rsid w:val="00263078"/>
    <w:pPr>
      <w:spacing w:after="200" w:line="240" w:lineRule="auto"/>
    </w:pPr>
    <w:rPr>
      <w:i/>
      <w:iCs/>
      <w:color w:val="1F497D" w:themeColor="text2"/>
      <w:sz w:val="18"/>
      <w:szCs w:val="18"/>
    </w:rPr>
  </w:style>
  <w:style w:type="character" w:styleId="SubtleEmphasis">
    <w:name w:val="Subtle Emphasis"/>
    <w:aliases w:val="figure and table heading"/>
    <w:basedOn w:val="DefaultParagraphFont"/>
    <w:uiPriority w:val="19"/>
    <w:qFormat/>
    <w:rsid w:val="00263078"/>
    <w:rPr>
      <w:rFonts w:ascii="Arial" w:hAnsi="Arial"/>
      <w:i w:val="0"/>
      <w:iCs/>
      <w:color w:val="7F7F7F" w:themeColor="text1" w:themeTint="80"/>
      <w:sz w:val="22"/>
    </w:rPr>
  </w:style>
  <w:style w:type="table" w:styleId="TableGrid">
    <w:name w:val="Table Grid"/>
    <w:basedOn w:val="TableNormal"/>
    <w:uiPriority w:val="39"/>
    <w:rsid w:val="00263078"/>
    <w:pPr>
      <w:spacing w:after="0" w:line="240" w:lineRule="auto"/>
    </w:pPr>
    <w:rPr>
      <w:rFonts w:ascii="Arial" w:hAnsi="Arial"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3078"/>
    <w:rPr>
      <w:sz w:val="16"/>
      <w:szCs w:val="16"/>
    </w:rPr>
  </w:style>
  <w:style w:type="paragraph" w:styleId="CommentText">
    <w:name w:val="annotation text"/>
    <w:basedOn w:val="Normal"/>
    <w:link w:val="CommentTextChar"/>
    <w:uiPriority w:val="99"/>
    <w:unhideWhenUsed/>
    <w:rsid w:val="00263078"/>
    <w:pPr>
      <w:spacing w:line="240" w:lineRule="auto"/>
    </w:pPr>
    <w:rPr>
      <w:sz w:val="20"/>
      <w:szCs w:val="20"/>
    </w:rPr>
  </w:style>
  <w:style w:type="character" w:customStyle="1" w:styleId="CommentTextChar">
    <w:name w:val="Comment Text Char"/>
    <w:basedOn w:val="DefaultParagraphFont"/>
    <w:link w:val="CommentText"/>
    <w:uiPriority w:val="99"/>
    <w:rsid w:val="00263078"/>
    <w:rPr>
      <w:rFonts w:ascii="Arial" w:hAnsi="Arial" w:cstheme="minorHAnsi"/>
      <w:sz w:val="20"/>
      <w:szCs w:val="20"/>
    </w:rPr>
  </w:style>
  <w:style w:type="paragraph" w:styleId="CommentSubject">
    <w:name w:val="annotation subject"/>
    <w:basedOn w:val="CommentText"/>
    <w:next w:val="CommentText"/>
    <w:link w:val="CommentSubjectChar"/>
    <w:uiPriority w:val="99"/>
    <w:semiHidden/>
    <w:unhideWhenUsed/>
    <w:rsid w:val="00263078"/>
    <w:rPr>
      <w:b/>
      <w:bCs/>
    </w:rPr>
  </w:style>
  <w:style w:type="character" w:customStyle="1" w:styleId="CommentSubjectChar">
    <w:name w:val="Comment Subject Char"/>
    <w:basedOn w:val="CommentTextChar"/>
    <w:link w:val="CommentSubject"/>
    <w:uiPriority w:val="99"/>
    <w:semiHidden/>
    <w:rsid w:val="00263078"/>
    <w:rPr>
      <w:rFonts w:ascii="Arial" w:hAnsi="Arial" w:cstheme="minorHAnsi"/>
      <w:b/>
      <w:bCs/>
      <w:sz w:val="20"/>
      <w:szCs w:val="20"/>
    </w:rPr>
  </w:style>
  <w:style w:type="character" w:styleId="SubtleReference">
    <w:name w:val="Subtle Reference"/>
    <w:basedOn w:val="DefaultParagraphFont"/>
    <w:uiPriority w:val="31"/>
    <w:qFormat/>
    <w:rsid w:val="00263078"/>
    <w:rPr>
      <w:smallCaps/>
      <w:color w:val="5A5A5A" w:themeColor="text1" w:themeTint="A5"/>
    </w:rPr>
  </w:style>
  <w:style w:type="paragraph" w:styleId="Subtitle">
    <w:name w:val="Subtitle"/>
    <w:basedOn w:val="Normal"/>
    <w:next w:val="Normal"/>
    <w:link w:val="SubtitleChar"/>
    <w:uiPriority w:val="11"/>
    <w:qFormat/>
    <w:rsid w:val="0026307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263078"/>
    <w:rPr>
      <w:rFonts w:eastAsiaTheme="minorEastAsia"/>
      <w:color w:val="5A5A5A" w:themeColor="text1" w:themeTint="A5"/>
      <w:spacing w:val="15"/>
    </w:rPr>
  </w:style>
  <w:style w:type="character" w:customStyle="1" w:styleId="highlight">
    <w:name w:val="highlight"/>
    <w:basedOn w:val="DefaultParagraphFont"/>
    <w:rsid w:val="00263078"/>
  </w:style>
  <w:style w:type="paragraph" w:styleId="TOCHeading">
    <w:name w:val="TOC Heading"/>
    <w:basedOn w:val="Heading1"/>
    <w:next w:val="Normal"/>
    <w:uiPriority w:val="39"/>
    <w:unhideWhenUsed/>
    <w:qFormat/>
    <w:rsid w:val="00263078"/>
    <w:pPr>
      <w:spacing w:before="240" w:after="0"/>
      <w:outlineLvl w:val="9"/>
    </w:pPr>
    <w:rPr>
      <w:rFonts w:asciiTheme="majorHAnsi" w:hAnsiTheme="majorHAnsi"/>
      <w:color w:val="365F91" w:themeColor="accent1" w:themeShade="BF"/>
      <w:sz w:val="32"/>
      <w:lang w:val="en-US"/>
    </w:rPr>
  </w:style>
  <w:style w:type="paragraph" w:styleId="TOC1">
    <w:name w:val="toc 1"/>
    <w:basedOn w:val="Normal"/>
    <w:next w:val="Normal"/>
    <w:autoRedefine/>
    <w:uiPriority w:val="39"/>
    <w:unhideWhenUsed/>
    <w:rsid w:val="00263078"/>
    <w:pPr>
      <w:spacing w:after="100"/>
    </w:pPr>
  </w:style>
  <w:style w:type="paragraph" w:styleId="TOC2">
    <w:name w:val="toc 2"/>
    <w:basedOn w:val="Normal"/>
    <w:next w:val="Normal"/>
    <w:autoRedefine/>
    <w:uiPriority w:val="39"/>
    <w:unhideWhenUsed/>
    <w:rsid w:val="00263078"/>
    <w:pPr>
      <w:tabs>
        <w:tab w:val="right" w:leader="dot" w:pos="9016"/>
      </w:tabs>
      <w:spacing w:after="0"/>
      <w:ind w:left="221"/>
    </w:pPr>
  </w:style>
  <w:style w:type="paragraph" w:styleId="TOC3">
    <w:name w:val="toc 3"/>
    <w:basedOn w:val="Normal"/>
    <w:next w:val="Normal"/>
    <w:autoRedefine/>
    <w:uiPriority w:val="39"/>
    <w:unhideWhenUsed/>
    <w:rsid w:val="00263078"/>
    <w:pPr>
      <w:spacing w:after="100"/>
      <w:ind w:left="440"/>
    </w:pPr>
  </w:style>
  <w:style w:type="paragraph" w:styleId="TableofFigures">
    <w:name w:val="table of figures"/>
    <w:basedOn w:val="Normal"/>
    <w:next w:val="Normal"/>
    <w:uiPriority w:val="99"/>
    <w:unhideWhenUsed/>
    <w:rsid w:val="00263078"/>
    <w:pPr>
      <w:spacing w:after="0"/>
    </w:pPr>
  </w:style>
  <w:style w:type="paragraph" w:styleId="Revision">
    <w:name w:val="Revision"/>
    <w:hidden/>
    <w:uiPriority w:val="99"/>
    <w:semiHidden/>
    <w:rsid w:val="00263078"/>
    <w:pPr>
      <w:spacing w:after="0" w:line="240" w:lineRule="auto"/>
    </w:pPr>
    <w:rPr>
      <w:rFonts w:ascii="Arial" w:hAnsi="Arial" w:cstheme="minorHAnsi"/>
      <w:szCs w:val="24"/>
    </w:rPr>
  </w:style>
  <w:style w:type="character" w:styleId="LineNumber">
    <w:name w:val="line number"/>
    <w:basedOn w:val="DefaultParagraphFont"/>
    <w:uiPriority w:val="99"/>
    <w:semiHidden/>
    <w:unhideWhenUsed/>
    <w:rsid w:val="00263078"/>
  </w:style>
  <w:style w:type="character" w:customStyle="1" w:styleId="st">
    <w:name w:val="st"/>
    <w:basedOn w:val="DefaultParagraphFont"/>
    <w:rsid w:val="002630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078"/>
    <w:pPr>
      <w:spacing w:after="240" w:line="360" w:lineRule="auto"/>
    </w:pPr>
    <w:rPr>
      <w:rFonts w:ascii="Arial" w:hAnsi="Arial" w:cstheme="minorHAnsi"/>
      <w:szCs w:val="24"/>
    </w:rPr>
  </w:style>
  <w:style w:type="paragraph" w:styleId="Heading1">
    <w:name w:val="heading 1"/>
    <w:basedOn w:val="Normal"/>
    <w:next w:val="Normal"/>
    <w:link w:val="Heading1Char"/>
    <w:uiPriority w:val="9"/>
    <w:qFormat/>
    <w:rsid w:val="00263078"/>
    <w:pPr>
      <w:keepNext/>
      <w:keepLines/>
      <w:spacing w:before="480" w:line="259" w:lineRule="auto"/>
      <w:outlineLvl w:val="0"/>
    </w:pPr>
    <w:rPr>
      <w:rFonts w:ascii="Cambria" w:eastAsiaTheme="majorEastAsia" w:hAnsi="Cambria" w:cstheme="majorBidi"/>
      <w:sz w:val="36"/>
      <w:szCs w:val="32"/>
    </w:rPr>
  </w:style>
  <w:style w:type="paragraph" w:styleId="Heading2">
    <w:name w:val="heading 2"/>
    <w:basedOn w:val="Normal"/>
    <w:next w:val="Normal"/>
    <w:link w:val="Heading2Char"/>
    <w:uiPriority w:val="9"/>
    <w:unhideWhenUsed/>
    <w:qFormat/>
    <w:rsid w:val="00263078"/>
    <w:pPr>
      <w:keepNext/>
      <w:keepLines/>
      <w:spacing w:before="40" w:after="0" w:line="259" w:lineRule="auto"/>
      <w:outlineLvl w:val="1"/>
    </w:pPr>
    <w:rPr>
      <w:rFonts w:ascii="Cambria" w:eastAsiaTheme="majorEastAsia" w:hAnsi="Cambria" w:cstheme="majorBidi"/>
      <w:color w:val="808080" w:themeColor="background1" w:themeShade="80"/>
      <w:sz w:val="28"/>
      <w:szCs w:val="26"/>
    </w:rPr>
  </w:style>
  <w:style w:type="paragraph" w:styleId="Heading3">
    <w:name w:val="heading 3"/>
    <w:basedOn w:val="Normal"/>
    <w:next w:val="Normal"/>
    <w:link w:val="Heading3Char"/>
    <w:uiPriority w:val="9"/>
    <w:unhideWhenUsed/>
    <w:qFormat/>
    <w:rsid w:val="00263078"/>
    <w:pPr>
      <w:keepNext/>
      <w:keepLines/>
      <w:spacing w:before="160" w:after="120" w:line="259" w:lineRule="auto"/>
      <w:outlineLvl w:val="2"/>
    </w:pPr>
    <w:rPr>
      <w:rFonts w:ascii="Cambria" w:eastAsiaTheme="majorEastAsia" w:hAnsi="Cambria" w:cstheme="majorBidi"/>
      <w:color w:val="404040" w:themeColor="text1" w:themeTint="BF"/>
      <w:sz w:val="36"/>
    </w:rPr>
  </w:style>
  <w:style w:type="paragraph" w:styleId="Heading4">
    <w:name w:val="heading 4"/>
    <w:basedOn w:val="Normal"/>
    <w:next w:val="Normal"/>
    <w:link w:val="Heading4Char"/>
    <w:uiPriority w:val="9"/>
    <w:unhideWhenUsed/>
    <w:qFormat/>
    <w:rsid w:val="00263078"/>
    <w:pPr>
      <w:keepNext/>
      <w:keepLines/>
      <w:spacing w:before="40" w:after="0"/>
      <w:outlineLvl w:val="3"/>
    </w:pPr>
    <w:rPr>
      <w:rFonts w:asciiTheme="majorHAnsi" w:eastAsiaTheme="majorEastAsia" w:hAnsiTheme="majorHAnsi" w:cstheme="majorBidi"/>
      <w:iCs/>
      <w:color w:val="7F7F7F" w:themeColor="text1" w:themeTint="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078"/>
    <w:rPr>
      <w:rFonts w:ascii="Cambria" w:eastAsiaTheme="majorEastAsia" w:hAnsi="Cambria" w:cstheme="majorBidi"/>
      <w:sz w:val="36"/>
      <w:szCs w:val="32"/>
    </w:rPr>
  </w:style>
  <w:style w:type="character" w:customStyle="1" w:styleId="Heading2Char">
    <w:name w:val="Heading 2 Char"/>
    <w:basedOn w:val="DefaultParagraphFont"/>
    <w:link w:val="Heading2"/>
    <w:uiPriority w:val="9"/>
    <w:rsid w:val="00263078"/>
    <w:rPr>
      <w:rFonts w:ascii="Cambria" w:eastAsiaTheme="majorEastAsia" w:hAnsi="Cambria" w:cstheme="majorBidi"/>
      <w:color w:val="808080" w:themeColor="background1" w:themeShade="80"/>
      <w:sz w:val="28"/>
      <w:szCs w:val="26"/>
    </w:rPr>
  </w:style>
  <w:style w:type="character" w:customStyle="1" w:styleId="Heading3Char">
    <w:name w:val="Heading 3 Char"/>
    <w:basedOn w:val="DefaultParagraphFont"/>
    <w:link w:val="Heading3"/>
    <w:uiPriority w:val="9"/>
    <w:rsid w:val="00263078"/>
    <w:rPr>
      <w:rFonts w:ascii="Cambria" w:eastAsiaTheme="majorEastAsia" w:hAnsi="Cambria" w:cstheme="majorBidi"/>
      <w:color w:val="404040" w:themeColor="text1" w:themeTint="BF"/>
      <w:sz w:val="36"/>
      <w:szCs w:val="24"/>
    </w:rPr>
  </w:style>
  <w:style w:type="character" w:customStyle="1" w:styleId="Heading4Char">
    <w:name w:val="Heading 4 Char"/>
    <w:basedOn w:val="DefaultParagraphFont"/>
    <w:link w:val="Heading4"/>
    <w:uiPriority w:val="9"/>
    <w:rsid w:val="00263078"/>
    <w:rPr>
      <w:rFonts w:asciiTheme="majorHAnsi" w:eastAsiaTheme="majorEastAsia" w:hAnsiTheme="majorHAnsi" w:cstheme="majorBidi"/>
      <w:iCs/>
      <w:color w:val="7F7F7F" w:themeColor="text1" w:themeTint="80"/>
      <w:sz w:val="28"/>
      <w:szCs w:val="24"/>
    </w:rPr>
  </w:style>
  <w:style w:type="paragraph" w:styleId="BalloonText">
    <w:name w:val="Balloon Text"/>
    <w:basedOn w:val="Normal"/>
    <w:link w:val="BalloonTextChar"/>
    <w:uiPriority w:val="99"/>
    <w:semiHidden/>
    <w:unhideWhenUsed/>
    <w:rsid w:val="00263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078"/>
    <w:rPr>
      <w:rFonts w:ascii="Tahoma" w:hAnsi="Tahoma" w:cs="Tahoma"/>
      <w:sz w:val="16"/>
      <w:szCs w:val="16"/>
    </w:rPr>
  </w:style>
  <w:style w:type="paragraph" w:customStyle="1" w:styleId="Coversheet">
    <w:name w:val="Coversheet"/>
    <w:basedOn w:val="Normal"/>
    <w:link w:val="CoversheetChar"/>
    <w:qFormat/>
    <w:rsid w:val="00263078"/>
    <w:pPr>
      <w:spacing w:before="120" w:after="120"/>
      <w:jc w:val="center"/>
    </w:pPr>
    <w:rPr>
      <w:sz w:val="44"/>
    </w:rPr>
  </w:style>
  <w:style w:type="character" w:customStyle="1" w:styleId="CoversheetChar">
    <w:name w:val="Coversheet Char"/>
    <w:basedOn w:val="DefaultParagraphFont"/>
    <w:link w:val="Coversheet"/>
    <w:rsid w:val="00263078"/>
    <w:rPr>
      <w:rFonts w:ascii="Arial" w:hAnsi="Arial" w:cstheme="minorHAnsi"/>
      <w:sz w:val="44"/>
      <w:szCs w:val="24"/>
    </w:rPr>
  </w:style>
  <w:style w:type="paragraph" w:customStyle="1" w:styleId="Default">
    <w:name w:val="Default"/>
    <w:rsid w:val="00263078"/>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263078"/>
    <w:rPr>
      <w:color w:val="0000FF"/>
      <w:u w:val="single"/>
    </w:rPr>
  </w:style>
  <w:style w:type="paragraph" w:customStyle="1" w:styleId="EndNoteBibliography">
    <w:name w:val="EndNote Bibliography"/>
    <w:basedOn w:val="Normal"/>
    <w:link w:val="EndNoteBibliographyChar"/>
    <w:rsid w:val="00263078"/>
    <w:pPr>
      <w:spacing w:after="160" w:line="240" w:lineRule="auto"/>
    </w:pPr>
    <w:rPr>
      <w:rFonts w:ascii="Calibri" w:hAnsi="Calibri" w:cs="Calibri"/>
      <w:noProof/>
      <w:szCs w:val="22"/>
      <w:lang w:val="en-US"/>
    </w:rPr>
  </w:style>
  <w:style w:type="character" w:customStyle="1" w:styleId="EndNoteBibliographyChar">
    <w:name w:val="EndNote Bibliography Char"/>
    <w:basedOn w:val="DefaultParagraphFont"/>
    <w:link w:val="EndNoteBibliography"/>
    <w:rsid w:val="00263078"/>
    <w:rPr>
      <w:rFonts w:ascii="Calibri" w:hAnsi="Calibri" w:cs="Calibri"/>
      <w:noProof/>
      <w:lang w:val="en-US"/>
    </w:rPr>
  </w:style>
  <w:style w:type="paragraph" w:styleId="ListParagraph">
    <w:name w:val="List Paragraph"/>
    <w:basedOn w:val="Normal"/>
    <w:uiPriority w:val="34"/>
    <w:qFormat/>
    <w:rsid w:val="00263078"/>
    <w:pPr>
      <w:spacing w:after="160" w:line="259" w:lineRule="auto"/>
      <w:ind w:left="720"/>
      <w:contextualSpacing/>
    </w:pPr>
    <w:rPr>
      <w:rFonts w:asciiTheme="minorHAnsi" w:hAnsiTheme="minorHAnsi" w:cstheme="minorBidi"/>
      <w:szCs w:val="22"/>
    </w:rPr>
  </w:style>
  <w:style w:type="paragraph" w:styleId="Header">
    <w:name w:val="header"/>
    <w:basedOn w:val="Normal"/>
    <w:link w:val="HeaderChar"/>
    <w:uiPriority w:val="99"/>
    <w:unhideWhenUsed/>
    <w:rsid w:val="002630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078"/>
    <w:rPr>
      <w:rFonts w:ascii="Arial" w:hAnsi="Arial" w:cstheme="minorHAnsi"/>
      <w:szCs w:val="24"/>
    </w:rPr>
  </w:style>
  <w:style w:type="paragraph" w:styleId="Footer">
    <w:name w:val="footer"/>
    <w:basedOn w:val="Normal"/>
    <w:link w:val="FooterChar"/>
    <w:uiPriority w:val="99"/>
    <w:unhideWhenUsed/>
    <w:rsid w:val="002630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078"/>
    <w:rPr>
      <w:rFonts w:ascii="Arial" w:hAnsi="Arial" w:cstheme="minorHAnsi"/>
      <w:szCs w:val="24"/>
    </w:rPr>
  </w:style>
  <w:style w:type="paragraph" w:customStyle="1" w:styleId="EndNoteBibliographyTitle">
    <w:name w:val="EndNote Bibliography Title"/>
    <w:basedOn w:val="Normal"/>
    <w:link w:val="EndNoteBibliographyTitleChar"/>
    <w:rsid w:val="0026307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63078"/>
    <w:rPr>
      <w:rFonts w:ascii="Calibri" w:hAnsi="Calibri" w:cs="Calibri"/>
      <w:noProof/>
      <w:szCs w:val="24"/>
      <w:lang w:val="en-US"/>
    </w:rPr>
  </w:style>
  <w:style w:type="paragraph" w:styleId="NoSpacing">
    <w:name w:val="No Spacing"/>
    <w:uiPriority w:val="1"/>
    <w:qFormat/>
    <w:rsid w:val="00263078"/>
    <w:pPr>
      <w:spacing w:after="0" w:line="240" w:lineRule="auto"/>
    </w:pPr>
    <w:rPr>
      <w:rFonts w:cstheme="minorHAnsi"/>
      <w:szCs w:val="24"/>
    </w:rPr>
  </w:style>
  <w:style w:type="paragraph" w:styleId="Caption">
    <w:name w:val="caption"/>
    <w:basedOn w:val="Normal"/>
    <w:next w:val="Normal"/>
    <w:uiPriority w:val="35"/>
    <w:unhideWhenUsed/>
    <w:qFormat/>
    <w:rsid w:val="00263078"/>
    <w:pPr>
      <w:spacing w:after="200" w:line="240" w:lineRule="auto"/>
    </w:pPr>
    <w:rPr>
      <w:i/>
      <w:iCs/>
      <w:color w:val="1F497D" w:themeColor="text2"/>
      <w:sz w:val="18"/>
      <w:szCs w:val="18"/>
    </w:rPr>
  </w:style>
  <w:style w:type="character" w:styleId="SubtleEmphasis">
    <w:name w:val="Subtle Emphasis"/>
    <w:aliases w:val="figure and table heading"/>
    <w:basedOn w:val="DefaultParagraphFont"/>
    <w:uiPriority w:val="19"/>
    <w:qFormat/>
    <w:rsid w:val="00263078"/>
    <w:rPr>
      <w:rFonts w:ascii="Arial" w:hAnsi="Arial"/>
      <w:i w:val="0"/>
      <w:iCs/>
      <w:color w:val="7F7F7F" w:themeColor="text1" w:themeTint="80"/>
      <w:sz w:val="22"/>
    </w:rPr>
  </w:style>
  <w:style w:type="table" w:styleId="TableGrid">
    <w:name w:val="Table Grid"/>
    <w:basedOn w:val="TableNormal"/>
    <w:uiPriority w:val="39"/>
    <w:rsid w:val="00263078"/>
    <w:pPr>
      <w:spacing w:after="0" w:line="240" w:lineRule="auto"/>
    </w:pPr>
    <w:rPr>
      <w:rFonts w:ascii="Arial" w:hAnsi="Arial"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3078"/>
    <w:rPr>
      <w:sz w:val="16"/>
      <w:szCs w:val="16"/>
    </w:rPr>
  </w:style>
  <w:style w:type="paragraph" w:styleId="CommentText">
    <w:name w:val="annotation text"/>
    <w:basedOn w:val="Normal"/>
    <w:link w:val="CommentTextChar"/>
    <w:uiPriority w:val="99"/>
    <w:unhideWhenUsed/>
    <w:rsid w:val="00263078"/>
    <w:pPr>
      <w:spacing w:line="240" w:lineRule="auto"/>
    </w:pPr>
    <w:rPr>
      <w:sz w:val="20"/>
      <w:szCs w:val="20"/>
    </w:rPr>
  </w:style>
  <w:style w:type="character" w:customStyle="1" w:styleId="CommentTextChar">
    <w:name w:val="Comment Text Char"/>
    <w:basedOn w:val="DefaultParagraphFont"/>
    <w:link w:val="CommentText"/>
    <w:uiPriority w:val="99"/>
    <w:rsid w:val="00263078"/>
    <w:rPr>
      <w:rFonts w:ascii="Arial" w:hAnsi="Arial" w:cstheme="minorHAnsi"/>
      <w:sz w:val="20"/>
      <w:szCs w:val="20"/>
    </w:rPr>
  </w:style>
  <w:style w:type="paragraph" w:styleId="CommentSubject">
    <w:name w:val="annotation subject"/>
    <w:basedOn w:val="CommentText"/>
    <w:next w:val="CommentText"/>
    <w:link w:val="CommentSubjectChar"/>
    <w:uiPriority w:val="99"/>
    <w:semiHidden/>
    <w:unhideWhenUsed/>
    <w:rsid w:val="00263078"/>
    <w:rPr>
      <w:b/>
      <w:bCs/>
    </w:rPr>
  </w:style>
  <w:style w:type="character" w:customStyle="1" w:styleId="CommentSubjectChar">
    <w:name w:val="Comment Subject Char"/>
    <w:basedOn w:val="CommentTextChar"/>
    <w:link w:val="CommentSubject"/>
    <w:uiPriority w:val="99"/>
    <w:semiHidden/>
    <w:rsid w:val="00263078"/>
    <w:rPr>
      <w:rFonts w:ascii="Arial" w:hAnsi="Arial" w:cstheme="minorHAnsi"/>
      <w:b/>
      <w:bCs/>
      <w:sz w:val="20"/>
      <w:szCs w:val="20"/>
    </w:rPr>
  </w:style>
  <w:style w:type="character" w:styleId="SubtleReference">
    <w:name w:val="Subtle Reference"/>
    <w:basedOn w:val="DefaultParagraphFont"/>
    <w:uiPriority w:val="31"/>
    <w:qFormat/>
    <w:rsid w:val="00263078"/>
    <w:rPr>
      <w:smallCaps/>
      <w:color w:val="5A5A5A" w:themeColor="text1" w:themeTint="A5"/>
    </w:rPr>
  </w:style>
  <w:style w:type="paragraph" w:styleId="Subtitle">
    <w:name w:val="Subtitle"/>
    <w:basedOn w:val="Normal"/>
    <w:next w:val="Normal"/>
    <w:link w:val="SubtitleChar"/>
    <w:uiPriority w:val="11"/>
    <w:qFormat/>
    <w:rsid w:val="0026307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263078"/>
    <w:rPr>
      <w:rFonts w:eastAsiaTheme="minorEastAsia"/>
      <w:color w:val="5A5A5A" w:themeColor="text1" w:themeTint="A5"/>
      <w:spacing w:val="15"/>
    </w:rPr>
  </w:style>
  <w:style w:type="character" w:customStyle="1" w:styleId="highlight">
    <w:name w:val="highlight"/>
    <w:basedOn w:val="DefaultParagraphFont"/>
    <w:rsid w:val="00263078"/>
  </w:style>
  <w:style w:type="paragraph" w:styleId="TOCHeading">
    <w:name w:val="TOC Heading"/>
    <w:basedOn w:val="Heading1"/>
    <w:next w:val="Normal"/>
    <w:uiPriority w:val="39"/>
    <w:unhideWhenUsed/>
    <w:qFormat/>
    <w:rsid w:val="00263078"/>
    <w:pPr>
      <w:spacing w:before="240" w:after="0"/>
      <w:outlineLvl w:val="9"/>
    </w:pPr>
    <w:rPr>
      <w:rFonts w:asciiTheme="majorHAnsi" w:hAnsiTheme="majorHAnsi"/>
      <w:color w:val="365F91" w:themeColor="accent1" w:themeShade="BF"/>
      <w:sz w:val="32"/>
      <w:lang w:val="en-US"/>
    </w:rPr>
  </w:style>
  <w:style w:type="paragraph" w:styleId="TOC1">
    <w:name w:val="toc 1"/>
    <w:basedOn w:val="Normal"/>
    <w:next w:val="Normal"/>
    <w:autoRedefine/>
    <w:uiPriority w:val="39"/>
    <w:unhideWhenUsed/>
    <w:rsid w:val="00263078"/>
    <w:pPr>
      <w:spacing w:after="100"/>
    </w:pPr>
  </w:style>
  <w:style w:type="paragraph" w:styleId="TOC2">
    <w:name w:val="toc 2"/>
    <w:basedOn w:val="Normal"/>
    <w:next w:val="Normal"/>
    <w:autoRedefine/>
    <w:uiPriority w:val="39"/>
    <w:unhideWhenUsed/>
    <w:rsid w:val="00263078"/>
    <w:pPr>
      <w:tabs>
        <w:tab w:val="right" w:leader="dot" w:pos="9016"/>
      </w:tabs>
      <w:spacing w:after="0"/>
      <w:ind w:left="221"/>
    </w:pPr>
  </w:style>
  <w:style w:type="paragraph" w:styleId="TOC3">
    <w:name w:val="toc 3"/>
    <w:basedOn w:val="Normal"/>
    <w:next w:val="Normal"/>
    <w:autoRedefine/>
    <w:uiPriority w:val="39"/>
    <w:unhideWhenUsed/>
    <w:rsid w:val="00263078"/>
    <w:pPr>
      <w:spacing w:after="100"/>
      <w:ind w:left="440"/>
    </w:pPr>
  </w:style>
  <w:style w:type="paragraph" w:styleId="TableofFigures">
    <w:name w:val="table of figures"/>
    <w:basedOn w:val="Normal"/>
    <w:next w:val="Normal"/>
    <w:uiPriority w:val="99"/>
    <w:unhideWhenUsed/>
    <w:rsid w:val="00263078"/>
    <w:pPr>
      <w:spacing w:after="0"/>
    </w:pPr>
  </w:style>
  <w:style w:type="paragraph" w:styleId="Revision">
    <w:name w:val="Revision"/>
    <w:hidden/>
    <w:uiPriority w:val="99"/>
    <w:semiHidden/>
    <w:rsid w:val="00263078"/>
    <w:pPr>
      <w:spacing w:after="0" w:line="240" w:lineRule="auto"/>
    </w:pPr>
    <w:rPr>
      <w:rFonts w:ascii="Arial" w:hAnsi="Arial" w:cstheme="minorHAnsi"/>
      <w:szCs w:val="24"/>
    </w:rPr>
  </w:style>
  <w:style w:type="character" w:styleId="LineNumber">
    <w:name w:val="line number"/>
    <w:basedOn w:val="DefaultParagraphFont"/>
    <w:uiPriority w:val="99"/>
    <w:semiHidden/>
    <w:unhideWhenUsed/>
    <w:rsid w:val="00263078"/>
  </w:style>
  <w:style w:type="character" w:customStyle="1" w:styleId="st">
    <w:name w:val="st"/>
    <w:basedOn w:val="DefaultParagraphFont"/>
    <w:rsid w:val="00263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655508">
      <w:bodyDiv w:val="1"/>
      <w:marLeft w:val="0"/>
      <w:marRight w:val="0"/>
      <w:marTop w:val="0"/>
      <w:marBottom w:val="0"/>
      <w:divBdr>
        <w:top w:val="none" w:sz="0" w:space="0" w:color="auto"/>
        <w:left w:val="none" w:sz="0" w:space="0" w:color="auto"/>
        <w:bottom w:val="none" w:sz="0" w:space="0" w:color="auto"/>
        <w:right w:val="none" w:sz="0" w:space="0" w:color="auto"/>
      </w:divBdr>
      <w:divsChild>
        <w:div w:id="1213465470">
          <w:marLeft w:val="0"/>
          <w:marRight w:val="0"/>
          <w:marTop w:val="0"/>
          <w:marBottom w:val="0"/>
          <w:divBdr>
            <w:top w:val="none" w:sz="0" w:space="0" w:color="auto"/>
            <w:left w:val="none" w:sz="0" w:space="0" w:color="auto"/>
            <w:bottom w:val="none" w:sz="0" w:space="0" w:color="auto"/>
            <w:right w:val="none" w:sz="0" w:space="0" w:color="auto"/>
          </w:divBdr>
        </w:div>
        <w:div w:id="1161460117">
          <w:marLeft w:val="0"/>
          <w:marRight w:val="0"/>
          <w:marTop w:val="0"/>
          <w:marBottom w:val="0"/>
          <w:divBdr>
            <w:top w:val="none" w:sz="0" w:space="0" w:color="auto"/>
            <w:left w:val="none" w:sz="0" w:space="0" w:color="auto"/>
            <w:bottom w:val="none" w:sz="0" w:space="0" w:color="auto"/>
            <w:right w:val="none" w:sz="0" w:space="0" w:color="auto"/>
          </w:divBdr>
          <w:divsChild>
            <w:div w:id="1151211458">
              <w:marLeft w:val="0"/>
              <w:marRight w:val="0"/>
              <w:marTop w:val="0"/>
              <w:marBottom w:val="0"/>
              <w:divBdr>
                <w:top w:val="none" w:sz="0" w:space="0" w:color="auto"/>
                <w:left w:val="none" w:sz="0" w:space="0" w:color="auto"/>
                <w:bottom w:val="none" w:sz="0" w:space="0" w:color="auto"/>
                <w:right w:val="none" w:sz="0" w:space="0" w:color="auto"/>
              </w:divBdr>
            </w:div>
            <w:div w:id="1281374347">
              <w:marLeft w:val="0"/>
              <w:marRight w:val="0"/>
              <w:marTop w:val="0"/>
              <w:marBottom w:val="0"/>
              <w:divBdr>
                <w:top w:val="none" w:sz="0" w:space="0" w:color="auto"/>
                <w:left w:val="none" w:sz="0" w:space="0" w:color="auto"/>
                <w:bottom w:val="none" w:sz="0" w:space="0" w:color="auto"/>
                <w:right w:val="none" w:sz="0" w:space="0" w:color="auto"/>
              </w:divBdr>
            </w:div>
            <w:div w:id="986670691">
              <w:marLeft w:val="0"/>
              <w:marRight w:val="0"/>
              <w:marTop w:val="0"/>
              <w:marBottom w:val="0"/>
              <w:divBdr>
                <w:top w:val="none" w:sz="0" w:space="0" w:color="auto"/>
                <w:left w:val="none" w:sz="0" w:space="0" w:color="auto"/>
                <w:bottom w:val="none" w:sz="0" w:space="0" w:color="auto"/>
                <w:right w:val="none" w:sz="0" w:space="0" w:color="auto"/>
              </w:divBdr>
            </w:div>
            <w:div w:id="311446571">
              <w:marLeft w:val="0"/>
              <w:marRight w:val="0"/>
              <w:marTop w:val="0"/>
              <w:marBottom w:val="0"/>
              <w:divBdr>
                <w:top w:val="none" w:sz="0" w:space="0" w:color="auto"/>
                <w:left w:val="none" w:sz="0" w:space="0" w:color="auto"/>
                <w:bottom w:val="none" w:sz="0" w:space="0" w:color="auto"/>
                <w:right w:val="none" w:sz="0" w:space="0" w:color="auto"/>
              </w:divBdr>
            </w:div>
            <w:div w:id="755713268">
              <w:marLeft w:val="0"/>
              <w:marRight w:val="0"/>
              <w:marTop w:val="0"/>
              <w:marBottom w:val="0"/>
              <w:divBdr>
                <w:top w:val="none" w:sz="0" w:space="0" w:color="auto"/>
                <w:left w:val="none" w:sz="0" w:space="0" w:color="auto"/>
                <w:bottom w:val="none" w:sz="0" w:space="0" w:color="auto"/>
                <w:right w:val="none" w:sz="0" w:space="0" w:color="auto"/>
              </w:divBdr>
            </w:div>
            <w:div w:id="270668220">
              <w:marLeft w:val="0"/>
              <w:marRight w:val="0"/>
              <w:marTop w:val="0"/>
              <w:marBottom w:val="0"/>
              <w:divBdr>
                <w:top w:val="none" w:sz="0" w:space="0" w:color="auto"/>
                <w:left w:val="none" w:sz="0" w:space="0" w:color="auto"/>
                <w:bottom w:val="none" w:sz="0" w:space="0" w:color="auto"/>
                <w:right w:val="none" w:sz="0" w:space="0" w:color="auto"/>
              </w:divBdr>
            </w:div>
            <w:div w:id="1789658691">
              <w:marLeft w:val="0"/>
              <w:marRight w:val="0"/>
              <w:marTop w:val="0"/>
              <w:marBottom w:val="0"/>
              <w:divBdr>
                <w:top w:val="none" w:sz="0" w:space="0" w:color="auto"/>
                <w:left w:val="none" w:sz="0" w:space="0" w:color="auto"/>
                <w:bottom w:val="none" w:sz="0" w:space="0" w:color="auto"/>
                <w:right w:val="none" w:sz="0" w:space="0" w:color="auto"/>
              </w:divBdr>
            </w:div>
            <w:div w:id="610434515">
              <w:marLeft w:val="0"/>
              <w:marRight w:val="0"/>
              <w:marTop w:val="0"/>
              <w:marBottom w:val="0"/>
              <w:divBdr>
                <w:top w:val="none" w:sz="0" w:space="0" w:color="auto"/>
                <w:left w:val="none" w:sz="0" w:space="0" w:color="auto"/>
                <w:bottom w:val="none" w:sz="0" w:space="0" w:color="auto"/>
                <w:right w:val="none" w:sz="0" w:space="0" w:color="auto"/>
              </w:divBdr>
            </w:div>
          </w:divsChild>
        </w:div>
        <w:div w:id="142355399">
          <w:marLeft w:val="0"/>
          <w:marRight w:val="0"/>
          <w:marTop w:val="0"/>
          <w:marBottom w:val="0"/>
          <w:divBdr>
            <w:top w:val="none" w:sz="0" w:space="0" w:color="auto"/>
            <w:left w:val="none" w:sz="0" w:space="0" w:color="auto"/>
            <w:bottom w:val="none" w:sz="0" w:space="0" w:color="auto"/>
            <w:right w:val="none" w:sz="0" w:space="0" w:color="auto"/>
          </w:divBdr>
          <w:divsChild>
            <w:div w:id="1832599402">
              <w:marLeft w:val="0"/>
              <w:marRight w:val="0"/>
              <w:marTop w:val="0"/>
              <w:marBottom w:val="0"/>
              <w:divBdr>
                <w:top w:val="none" w:sz="0" w:space="0" w:color="auto"/>
                <w:left w:val="none" w:sz="0" w:space="0" w:color="auto"/>
                <w:bottom w:val="none" w:sz="0" w:space="0" w:color="auto"/>
                <w:right w:val="none" w:sz="0" w:space="0" w:color="auto"/>
              </w:divBdr>
            </w:div>
            <w:div w:id="9335052">
              <w:marLeft w:val="0"/>
              <w:marRight w:val="0"/>
              <w:marTop w:val="0"/>
              <w:marBottom w:val="0"/>
              <w:divBdr>
                <w:top w:val="none" w:sz="0" w:space="0" w:color="auto"/>
                <w:left w:val="none" w:sz="0" w:space="0" w:color="auto"/>
                <w:bottom w:val="none" w:sz="0" w:space="0" w:color="auto"/>
                <w:right w:val="none" w:sz="0" w:space="0" w:color="auto"/>
              </w:divBdr>
              <w:divsChild>
                <w:div w:id="491071621">
                  <w:marLeft w:val="0"/>
                  <w:marRight w:val="0"/>
                  <w:marTop w:val="0"/>
                  <w:marBottom w:val="0"/>
                  <w:divBdr>
                    <w:top w:val="none" w:sz="0" w:space="0" w:color="auto"/>
                    <w:left w:val="none" w:sz="0" w:space="0" w:color="auto"/>
                    <w:bottom w:val="none" w:sz="0" w:space="0" w:color="auto"/>
                    <w:right w:val="none" w:sz="0" w:space="0" w:color="auto"/>
                  </w:divBdr>
                  <w:divsChild>
                    <w:div w:id="1582132005">
                      <w:marLeft w:val="0"/>
                      <w:marRight w:val="0"/>
                      <w:marTop w:val="0"/>
                      <w:marBottom w:val="0"/>
                      <w:divBdr>
                        <w:top w:val="none" w:sz="0" w:space="0" w:color="auto"/>
                        <w:left w:val="none" w:sz="0" w:space="0" w:color="auto"/>
                        <w:bottom w:val="none" w:sz="0" w:space="0" w:color="auto"/>
                        <w:right w:val="none" w:sz="0" w:space="0" w:color="auto"/>
                      </w:divBdr>
                      <w:divsChild>
                        <w:div w:id="1311255397">
                          <w:marLeft w:val="0"/>
                          <w:marRight w:val="0"/>
                          <w:marTop w:val="0"/>
                          <w:marBottom w:val="0"/>
                          <w:divBdr>
                            <w:top w:val="none" w:sz="0" w:space="0" w:color="auto"/>
                            <w:left w:val="none" w:sz="0" w:space="0" w:color="auto"/>
                            <w:bottom w:val="none" w:sz="0" w:space="0" w:color="auto"/>
                            <w:right w:val="none" w:sz="0" w:space="0" w:color="auto"/>
                          </w:divBdr>
                        </w:div>
                        <w:div w:id="198688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ph.hayes@ucl.ac.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ED7AC91C.dotm</Template>
  <TotalTime>0</TotalTime>
  <Pages>17</Pages>
  <Words>4290</Words>
  <Characters>24453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28686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F Hayes</dc:creator>
  <cp:lastModifiedBy>Joseph F Hayes</cp:lastModifiedBy>
  <cp:revision>2</cp:revision>
  <dcterms:created xsi:type="dcterms:W3CDTF">2015-04-24T10:15:00Z</dcterms:created>
  <dcterms:modified xsi:type="dcterms:W3CDTF">2015-04-24T10:15:00Z</dcterms:modified>
</cp:coreProperties>
</file>