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6948" w14:textId="1FE143AA" w:rsidR="0074114F" w:rsidRPr="00B0472A" w:rsidRDefault="008803C6" w:rsidP="008803C6">
      <w:pPr>
        <w:spacing w:line="240" w:lineRule="auto"/>
        <w:rPr>
          <w:b/>
        </w:rPr>
      </w:pPr>
      <w:r w:rsidRPr="00B0472A">
        <w:rPr>
          <w:b/>
        </w:rPr>
        <w:t xml:space="preserve">NOTICE: this is the author’s version of a work that was accepted for publication in </w:t>
      </w:r>
      <w:r w:rsidR="007745EC" w:rsidRPr="00B0472A">
        <w:rPr>
          <w:b/>
        </w:rPr>
        <w:t>Environment International</w:t>
      </w:r>
      <w:r w:rsidRPr="00B0472A">
        <w:rPr>
          <w:b/>
        </w:rPr>
        <w:t xml:space="preserve">. Changes resulting from the publishing process, such as peer review, editing, corrections, structural formatting, and other quality control mechanisms may not be reflected in this document. Changes may have been made to this work since it was submitted for publication. A definitive version was subsequently published in Environment International, </w:t>
      </w:r>
      <w:r w:rsidR="00B0472A" w:rsidRPr="00B0472A">
        <w:rPr>
          <w:b/>
        </w:rPr>
        <w:t xml:space="preserve">VOL 81, </w:t>
      </w:r>
      <w:r w:rsidRPr="00B0472A">
        <w:rPr>
          <w:b/>
        </w:rPr>
        <w:t>(</w:t>
      </w:r>
      <w:r w:rsidR="00B0472A" w:rsidRPr="00B0472A">
        <w:rPr>
          <w:b/>
        </w:rPr>
        <w:t>2015</w:t>
      </w:r>
      <w:r w:rsidR="00EC1434">
        <w:rPr>
          <w:b/>
        </w:rPr>
        <w:t>)</w:t>
      </w:r>
      <w:bookmarkStart w:id="0" w:name="_GoBack"/>
      <w:bookmarkEnd w:id="0"/>
      <w:r w:rsidR="00B0472A" w:rsidRPr="00B0472A">
        <w:rPr>
          <w:b/>
        </w:rPr>
        <w:t xml:space="preserve"> DOI </w:t>
      </w:r>
      <w:r w:rsidR="00B0472A" w:rsidRPr="00B0472A">
        <w:rPr>
          <w:b/>
        </w:rPr>
        <w:t>10.1016/j.envint.2015.04.011</w:t>
      </w:r>
    </w:p>
    <w:p w14:paraId="1BEF5957" w14:textId="77777777" w:rsidR="008803C6" w:rsidRDefault="008803C6" w:rsidP="00412DBB">
      <w:pPr>
        <w:spacing w:line="240" w:lineRule="auto"/>
        <w:jc w:val="both"/>
      </w:pPr>
    </w:p>
    <w:p w14:paraId="363C9E70" w14:textId="77777777" w:rsidR="00412DBB" w:rsidRPr="00412DBB" w:rsidRDefault="00412DBB" w:rsidP="00412DBB">
      <w:pPr>
        <w:spacing w:line="240" w:lineRule="auto"/>
        <w:jc w:val="both"/>
      </w:pPr>
    </w:p>
    <w:p w14:paraId="4E96F9C4" w14:textId="77777777" w:rsidR="003A7D86" w:rsidRPr="00AC52C1" w:rsidRDefault="008A3069" w:rsidP="00412DBB">
      <w:pPr>
        <w:spacing w:line="240" w:lineRule="auto"/>
        <w:jc w:val="center"/>
        <w:rPr>
          <w:b/>
          <w:sz w:val="40"/>
          <w:szCs w:val="40"/>
        </w:rPr>
      </w:pPr>
      <w:r w:rsidRPr="00AC52C1">
        <w:rPr>
          <w:b/>
          <w:sz w:val="40"/>
          <w:szCs w:val="40"/>
        </w:rPr>
        <w:t xml:space="preserve">Housing interventions and </w:t>
      </w:r>
      <w:r w:rsidR="008E61CE" w:rsidRPr="00AC52C1">
        <w:rPr>
          <w:b/>
          <w:sz w:val="40"/>
          <w:szCs w:val="40"/>
        </w:rPr>
        <w:t>health</w:t>
      </w:r>
      <w:r w:rsidRPr="00AC52C1">
        <w:rPr>
          <w:b/>
          <w:sz w:val="40"/>
          <w:szCs w:val="40"/>
        </w:rPr>
        <w:t xml:space="preserve">: </w:t>
      </w:r>
      <w:r w:rsidR="009F4308" w:rsidRPr="00AC52C1">
        <w:rPr>
          <w:b/>
          <w:sz w:val="40"/>
          <w:szCs w:val="40"/>
        </w:rPr>
        <w:t>quantifying the impact</w:t>
      </w:r>
      <w:r w:rsidR="00560EA4" w:rsidRPr="00AC52C1">
        <w:rPr>
          <w:b/>
          <w:sz w:val="40"/>
          <w:szCs w:val="40"/>
        </w:rPr>
        <w:t xml:space="preserve"> of </w:t>
      </w:r>
      <w:r w:rsidR="008E61CE" w:rsidRPr="00AC52C1">
        <w:rPr>
          <w:b/>
          <w:sz w:val="40"/>
          <w:szCs w:val="40"/>
        </w:rPr>
        <w:t xml:space="preserve">indoor </w:t>
      </w:r>
      <w:r w:rsidR="00EA6F85" w:rsidRPr="00AC52C1">
        <w:rPr>
          <w:b/>
          <w:sz w:val="40"/>
          <w:szCs w:val="40"/>
        </w:rPr>
        <w:t>particles</w:t>
      </w:r>
      <w:r w:rsidR="00C93AE1" w:rsidRPr="00AC52C1">
        <w:rPr>
          <w:b/>
          <w:sz w:val="40"/>
          <w:szCs w:val="40"/>
        </w:rPr>
        <w:t xml:space="preserve"> on mortality and morbidity</w:t>
      </w:r>
      <w:r w:rsidR="00E77A3D" w:rsidRPr="00AC52C1">
        <w:rPr>
          <w:b/>
          <w:sz w:val="40"/>
          <w:szCs w:val="40"/>
        </w:rPr>
        <w:t xml:space="preserve"> with disease recovery</w:t>
      </w:r>
    </w:p>
    <w:p w14:paraId="10F8AE32" w14:textId="77777777" w:rsidR="002B2E6A" w:rsidRDefault="002B2E6A" w:rsidP="00412DBB">
      <w:pPr>
        <w:spacing w:line="240" w:lineRule="auto"/>
        <w:jc w:val="both"/>
      </w:pPr>
    </w:p>
    <w:p w14:paraId="2F3F6D69" w14:textId="77777777" w:rsidR="00412DBB" w:rsidRDefault="00412DBB" w:rsidP="00412DBB">
      <w:pPr>
        <w:spacing w:line="240" w:lineRule="auto"/>
        <w:jc w:val="both"/>
      </w:pPr>
    </w:p>
    <w:p w14:paraId="2F55264B" w14:textId="77777777" w:rsidR="00412DBB" w:rsidRPr="00094632" w:rsidRDefault="00412DBB" w:rsidP="00412DBB">
      <w:pPr>
        <w:spacing w:line="240" w:lineRule="auto"/>
        <w:jc w:val="both"/>
      </w:pPr>
    </w:p>
    <w:p w14:paraId="70AADA38" w14:textId="77777777" w:rsidR="00412DBB" w:rsidRDefault="003A7D86" w:rsidP="00412DBB">
      <w:pPr>
        <w:spacing w:line="240" w:lineRule="auto"/>
      </w:pPr>
      <w:r w:rsidRPr="00094632">
        <w:t>James Milner</w:t>
      </w:r>
      <w:r w:rsidR="000B7E0A" w:rsidRPr="00094632">
        <w:rPr>
          <w:vertAlign w:val="superscript"/>
        </w:rPr>
        <w:t>1,</w:t>
      </w:r>
      <w:r w:rsidR="003E3549">
        <w:t xml:space="preserve">* </w:t>
      </w:r>
      <w:hyperlink r:id="rId8" w:history="1">
        <w:r w:rsidR="003E3549" w:rsidRPr="00E0287B">
          <w:rPr>
            <w:rStyle w:val="Hyperlink"/>
          </w:rPr>
          <w:t>james.milner@lshtm.ac.uk</w:t>
        </w:r>
      </w:hyperlink>
    </w:p>
    <w:p w14:paraId="6582816A" w14:textId="77777777" w:rsidR="00412DBB" w:rsidRDefault="003A7D86" w:rsidP="00412DBB">
      <w:pPr>
        <w:spacing w:line="240" w:lineRule="auto"/>
      </w:pPr>
      <w:r w:rsidRPr="00094632">
        <w:t>Zaid Chalabi</w:t>
      </w:r>
      <w:r w:rsidR="000B7E0A" w:rsidRPr="00094632">
        <w:rPr>
          <w:vertAlign w:val="superscript"/>
        </w:rPr>
        <w:t>1</w:t>
      </w:r>
      <w:r w:rsidR="003E3549">
        <w:t xml:space="preserve"> </w:t>
      </w:r>
      <w:hyperlink r:id="rId9" w:history="1">
        <w:r w:rsidR="003E3549" w:rsidRPr="00E0287B">
          <w:rPr>
            <w:rStyle w:val="Hyperlink"/>
          </w:rPr>
          <w:t>zaid.chalabi@lshtm.ac.uk</w:t>
        </w:r>
      </w:hyperlink>
    </w:p>
    <w:p w14:paraId="5AABAF13" w14:textId="77777777" w:rsidR="00412DBB" w:rsidRDefault="002E32CD" w:rsidP="00412DBB">
      <w:pPr>
        <w:spacing w:line="240" w:lineRule="auto"/>
      </w:pPr>
      <w:r w:rsidRPr="00094632">
        <w:t>Sotiris Vardoulakis</w:t>
      </w:r>
      <w:r w:rsidR="000B7E0A" w:rsidRPr="00094632">
        <w:rPr>
          <w:vertAlign w:val="superscript"/>
        </w:rPr>
        <w:t>2</w:t>
      </w:r>
      <w:proofErr w:type="gramStart"/>
      <w:r w:rsidR="000338D6">
        <w:rPr>
          <w:vertAlign w:val="superscript"/>
        </w:rPr>
        <w:t>,1</w:t>
      </w:r>
      <w:proofErr w:type="gramEnd"/>
      <w:r w:rsidR="003E3549">
        <w:t xml:space="preserve"> </w:t>
      </w:r>
      <w:hyperlink r:id="rId10" w:history="1">
        <w:r w:rsidR="003E3549" w:rsidRPr="00E0287B">
          <w:rPr>
            <w:rStyle w:val="Hyperlink"/>
          </w:rPr>
          <w:t>sotiris.vardoulakis@phe.gov.uk</w:t>
        </w:r>
      </w:hyperlink>
    </w:p>
    <w:p w14:paraId="07685781" w14:textId="77777777" w:rsidR="000E3E0D" w:rsidRDefault="002E32CD" w:rsidP="00412DBB">
      <w:pPr>
        <w:spacing w:line="240" w:lineRule="auto"/>
      </w:pPr>
      <w:r w:rsidRPr="00094632">
        <w:t>Paul Wilkinson</w:t>
      </w:r>
      <w:r w:rsidR="000B7E0A" w:rsidRPr="00094632">
        <w:rPr>
          <w:vertAlign w:val="superscript"/>
        </w:rPr>
        <w:t>1</w:t>
      </w:r>
      <w:r w:rsidR="003E3549">
        <w:t xml:space="preserve"> </w:t>
      </w:r>
      <w:hyperlink r:id="rId11" w:history="1">
        <w:r w:rsidR="003E3549" w:rsidRPr="00E0287B">
          <w:rPr>
            <w:rStyle w:val="Hyperlink"/>
          </w:rPr>
          <w:t>paul.wilkinson@lshtm.ac.uk</w:t>
        </w:r>
      </w:hyperlink>
    </w:p>
    <w:p w14:paraId="48F19D0B" w14:textId="77777777" w:rsidR="00920404" w:rsidRDefault="00920404" w:rsidP="00412DBB">
      <w:pPr>
        <w:spacing w:line="240" w:lineRule="auto"/>
      </w:pPr>
    </w:p>
    <w:p w14:paraId="78229D23" w14:textId="77777777" w:rsidR="00412DBB" w:rsidRDefault="00412DBB" w:rsidP="00412DBB">
      <w:pPr>
        <w:spacing w:line="240" w:lineRule="auto"/>
      </w:pPr>
    </w:p>
    <w:p w14:paraId="62F3485D" w14:textId="77777777" w:rsidR="00412DBB" w:rsidRPr="00094632" w:rsidRDefault="00412DBB" w:rsidP="00412DBB">
      <w:pPr>
        <w:spacing w:line="240" w:lineRule="auto"/>
      </w:pPr>
    </w:p>
    <w:p w14:paraId="2A2C1358" w14:textId="77777777" w:rsidR="003A7D86" w:rsidRPr="00094632" w:rsidRDefault="000B7E0A" w:rsidP="00412DBB">
      <w:pPr>
        <w:spacing w:after="120" w:line="240" w:lineRule="auto"/>
      </w:pPr>
      <w:r w:rsidRPr="00560EA4">
        <w:rPr>
          <w:vertAlign w:val="superscript"/>
        </w:rPr>
        <w:t>1</w:t>
      </w:r>
      <w:r w:rsidR="00560EA4">
        <w:t xml:space="preserve"> </w:t>
      </w:r>
      <w:r w:rsidR="003A7D86" w:rsidRPr="00560EA4">
        <w:t>Department</w:t>
      </w:r>
      <w:r w:rsidR="003A7D86" w:rsidRPr="00094632">
        <w:t xml:space="preserve"> of Social &amp; Environmental Health Research, London School of Hygiene &amp; Tropical Medicine, 15-17 Tavistock Place, London, WC1</w:t>
      </w:r>
      <w:r w:rsidR="00AC5130" w:rsidRPr="00094632">
        <w:t>H</w:t>
      </w:r>
      <w:r w:rsidR="003A7D86" w:rsidRPr="00094632">
        <w:t xml:space="preserve"> 9SH, UK</w:t>
      </w:r>
    </w:p>
    <w:p w14:paraId="77EEDE99" w14:textId="77777777" w:rsidR="000B7E0A" w:rsidRPr="00094632" w:rsidRDefault="000B7E0A" w:rsidP="00412DBB">
      <w:pPr>
        <w:spacing w:after="120" w:line="240" w:lineRule="auto"/>
      </w:pPr>
      <w:r w:rsidRPr="00560EA4">
        <w:rPr>
          <w:vertAlign w:val="superscript"/>
        </w:rPr>
        <w:t>2</w:t>
      </w:r>
      <w:r w:rsidR="00560EA4">
        <w:t xml:space="preserve"> </w:t>
      </w:r>
      <w:r w:rsidR="00E94DC2" w:rsidRPr="00560EA4">
        <w:t>Centre</w:t>
      </w:r>
      <w:r w:rsidR="00E94DC2" w:rsidRPr="00094632">
        <w:t xml:space="preserve"> for Radiation, Chemical &amp; Environmental Hazards, </w:t>
      </w:r>
      <w:r w:rsidR="003E3549">
        <w:t>Public Health England</w:t>
      </w:r>
      <w:r w:rsidRPr="00094632">
        <w:t xml:space="preserve">, </w:t>
      </w:r>
      <w:r w:rsidR="00910723">
        <w:t>Harwell Campus</w:t>
      </w:r>
      <w:r w:rsidR="00E94DC2" w:rsidRPr="00094632">
        <w:t>, OX11 0RQ, UK</w:t>
      </w:r>
    </w:p>
    <w:p w14:paraId="21DE864D" w14:textId="77777777" w:rsidR="000E3E0D" w:rsidRDefault="000E3E0D" w:rsidP="00412DBB">
      <w:pPr>
        <w:spacing w:line="240" w:lineRule="auto"/>
        <w:jc w:val="both"/>
      </w:pPr>
    </w:p>
    <w:p w14:paraId="70D2EF0B" w14:textId="77777777" w:rsidR="00412DBB" w:rsidRPr="00094632" w:rsidRDefault="00412DBB" w:rsidP="00412DBB">
      <w:pPr>
        <w:spacing w:line="240" w:lineRule="auto"/>
        <w:jc w:val="both"/>
      </w:pPr>
    </w:p>
    <w:p w14:paraId="6729663D" w14:textId="07D8097B" w:rsidR="000E3E0D" w:rsidRPr="00094632" w:rsidRDefault="00D02C88" w:rsidP="00412DBB">
      <w:pPr>
        <w:spacing w:after="120" w:line="240" w:lineRule="auto"/>
      </w:pPr>
      <w:r w:rsidRPr="00094632">
        <w:t>*</w:t>
      </w:r>
      <w:r w:rsidR="003A4187">
        <w:t>Correspondence to</w:t>
      </w:r>
      <w:r w:rsidR="000E3E0D" w:rsidRPr="00094632">
        <w:t>:</w:t>
      </w:r>
      <w:r w:rsidR="00D25EDF" w:rsidRPr="00094632">
        <w:t xml:space="preserve"> </w:t>
      </w:r>
      <w:r w:rsidR="00483DB8">
        <w:br/>
      </w:r>
      <w:r w:rsidR="00C3776A" w:rsidRPr="00094632">
        <w:t xml:space="preserve">Dr </w:t>
      </w:r>
      <w:r w:rsidR="000E3E0D" w:rsidRPr="00094632">
        <w:t xml:space="preserve">James Milner, Department of Social &amp; Environmental Health Research, London School of Hygiene &amp; Tropical Medicine, </w:t>
      </w:r>
      <w:r w:rsidR="007465CA" w:rsidRPr="00094632">
        <w:t xml:space="preserve">15-17 Tavistock Place, </w:t>
      </w:r>
      <w:r w:rsidR="00347F48">
        <w:t>London, WC1H 9SH, UK</w:t>
      </w:r>
      <w:r w:rsidR="00185165">
        <w:br/>
      </w:r>
      <w:r w:rsidR="000E3E0D" w:rsidRPr="00094632">
        <w:t xml:space="preserve">Email: </w:t>
      </w:r>
      <w:hyperlink r:id="rId12" w:history="1">
        <w:r w:rsidR="003E3549" w:rsidRPr="00E0287B">
          <w:rPr>
            <w:rStyle w:val="Hyperlink"/>
          </w:rPr>
          <w:t>james.milner@lshtm.ac.uk</w:t>
        </w:r>
      </w:hyperlink>
      <w:r w:rsidR="003E3549">
        <w:t xml:space="preserve">. Tel: +44 (0)20 7927 2510. </w:t>
      </w:r>
      <w:r w:rsidR="000E3E0D" w:rsidRPr="00094632">
        <w:t>Fax: +44 (0)20 7580 4524</w:t>
      </w:r>
    </w:p>
    <w:p w14:paraId="3A442C12" w14:textId="77777777" w:rsidR="000E3E0D" w:rsidRDefault="000E3E0D" w:rsidP="00412DBB">
      <w:pPr>
        <w:spacing w:line="240" w:lineRule="auto"/>
        <w:jc w:val="both"/>
      </w:pPr>
    </w:p>
    <w:p w14:paraId="645B7652" w14:textId="77777777" w:rsidR="00412DBB" w:rsidRPr="00094632" w:rsidRDefault="00412DBB" w:rsidP="00412DBB">
      <w:pPr>
        <w:spacing w:line="240" w:lineRule="auto"/>
        <w:jc w:val="both"/>
      </w:pPr>
    </w:p>
    <w:p w14:paraId="23D70214" w14:textId="2F63694C" w:rsidR="003A7D86" w:rsidRPr="00710182" w:rsidRDefault="00775A42" w:rsidP="003C314B">
      <w:pPr>
        <w:spacing w:line="240" w:lineRule="auto"/>
        <w:rPr>
          <w:b/>
          <w:sz w:val="28"/>
          <w:szCs w:val="28"/>
        </w:rPr>
      </w:pPr>
      <w:r w:rsidRPr="00C27629">
        <w:t>Word count:</w:t>
      </w:r>
      <w:r w:rsidR="00560EA4" w:rsidRPr="00C27629">
        <w:t xml:space="preserve"> </w:t>
      </w:r>
      <w:r w:rsidR="001D5E32" w:rsidRPr="00F77154">
        <w:t>3,</w:t>
      </w:r>
      <w:r w:rsidR="00F77154" w:rsidRPr="00F77154">
        <w:t>500</w:t>
      </w:r>
      <w:r w:rsidR="00C85855">
        <w:br w:type="page"/>
      </w:r>
      <w:r w:rsidR="00323439" w:rsidRPr="00710182">
        <w:rPr>
          <w:b/>
          <w:sz w:val="28"/>
          <w:szCs w:val="28"/>
        </w:rPr>
        <w:lastRenderedPageBreak/>
        <w:t>ABSTRACT</w:t>
      </w:r>
    </w:p>
    <w:p w14:paraId="0A778E63" w14:textId="77CCBE27" w:rsidR="00BE198E" w:rsidRDefault="00157759" w:rsidP="00412DBB">
      <w:pPr>
        <w:spacing w:line="480" w:lineRule="auto"/>
      </w:pPr>
      <w:r>
        <w:t xml:space="preserve">Housing interventions for energy efficiency and greenhouse gas emission reduction have the potential to reduce exposure to indoor air pollution if </w:t>
      </w:r>
      <w:r w:rsidR="001D3D55">
        <w:t xml:space="preserve">they are </w:t>
      </w:r>
      <w:r>
        <w:t>implemented</w:t>
      </w:r>
      <w:r w:rsidR="001D3D55">
        <w:t xml:space="preserve"> correctly</w:t>
      </w:r>
      <w:r>
        <w:t xml:space="preserve">. This work assessed the health impacts of home energy efficiency measures </w:t>
      </w:r>
      <w:r w:rsidR="001D3D55">
        <w:t xml:space="preserve">in </w:t>
      </w:r>
      <w:r w:rsidR="00685A3A">
        <w:t>England and Wales</w:t>
      </w:r>
      <w:r w:rsidR="001D3D55">
        <w:t xml:space="preserve"> </w:t>
      </w:r>
      <w:r>
        <w:t xml:space="preserve">resulting in a reduction in </w:t>
      </w:r>
      <w:r w:rsidR="001D3D55">
        <w:t xml:space="preserve">average </w:t>
      </w:r>
      <w:r>
        <w:t>indoor PM</w:t>
      </w:r>
      <w:r w:rsidRPr="001D3D55">
        <w:rPr>
          <w:vertAlign w:val="subscript"/>
        </w:rPr>
        <w:t>2.5</w:t>
      </w:r>
      <w:r>
        <w:t xml:space="preserve"> exposures of 3 µg m</w:t>
      </w:r>
      <w:r w:rsidRPr="00157759">
        <w:rPr>
          <w:vertAlign w:val="superscript"/>
        </w:rPr>
        <w:t>-3</w:t>
      </w:r>
      <w:r>
        <w:t>. The assessment was performed using a new multi</w:t>
      </w:r>
      <w:r w:rsidRPr="00094632">
        <w:t>state life table model which allows transition into and between multiple morbid states, including recovery to disease-free status and relapse</w:t>
      </w:r>
      <w:r>
        <w:t>, with t</w:t>
      </w:r>
      <w:r w:rsidRPr="00094632">
        <w:t>ransition rates informed by age- and cause-specific disease prevalence, incidence and mortality data</w:t>
      </w:r>
      <w:r>
        <w:t xml:space="preserve">. </w:t>
      </w:r>
      <w:r w:rsidR="001D3D55">
        <w:t>Such</w:t>
      </w:r>
      <w:r w:rsidR="00951C15" w:rsidRPr="00094632">
        <w:t xml:space="preserve"> models have not previo</w:t>
      </w:r>
      <w:r w:rsidR="001D3D55">
        <w:t xml:space="preserve">usly included disease recovery. The results demonstrate </w:t>
      </w:r>
      <w:r w:rsidR="002D1156">
        <w:t xml:space="preserve">that </w:t>
      </w:r>
      <w:r w:rsidR="001D3D55">
        <w:t>i</w:t>
      </w:r>
      <w:r w:rsidR="001D3D55" w:rsidRPr="00157759">
        <w:t>ncorporation</w:t>
      </w:r>
      <w:r w:rsidR="001D3D55" w:rsidRPr="00094632">
        <w:t xml:space="preserve"> of recovery in the model is necessary for conditions </w:t>
      </w:r>
      <w:r w:rsidR="00195C37">
        <w:t xml:space="preserve">such as asthma </w:t>
      </w:r>
      <w:r w:rsidR="001D3D55" w:rsidRPr="00094632">
        <w:t xml:space="preserve">which </w:t>
      </w:r>
      <w:r w:rsidR="001D3D55" w:rsidRPr="00157759">
        <w:t>have high incidence in early life</w:t>
      </w:r>
      <w:r w:rsidR="001D3D55">
        <w:t xml:space="preserve"> </w:t>
      </w:r>
      <w:r w:rsidR="001D3D55" w:rsidRPr="00157759">
        <w:t xml:space="preserve">but </w:t>
      </w:r>
      <w:r w:rsidR="001D3D55">
        <w:t>likelihood of recov</w:t>
      </w:r>
      <w:r w:rsidR="00195C37">
        <w:t>ery in adulthood</w:t>
      </w:r>
      <w:r w:rsidR="001D3D55" w:rsidRPr="00157759">
        <w:t xml:space="preserve">. </w:t>
      </w:r>
      <w:r>
        <w:t xml:space="preserve">The </w:t>
      </w:r>
      <w:r w:rsidR="001D3D55">
        <w:t>impact assessment</w:t>
      </w:r>
      <w:r>
        <w:t xml:space="preserve"> </w:t>
      </w:r>
      <w:r w:rsidR="001D3D55">
        <w:t xml:space="preserve">of the home energy efficiency intervention </w:t>
      </w:r>
      <w:r>
        <w:t>show</w:t>
      </w:r>
      <w:r w:rsidR="001D3D55">
        <w:t>ed</w:t>
      </w:r>
      <w:r>
        <w:t xml:space="preserve"> that the reduction in PM</w:t>
      </w:r>
      <w:r w:rsidRPr="00157759">
        <w:rPr>
          <w:vertAlign w:val="subscript"/>
        </w:rPr>
        <w:t>2.5</w:t>
      </w:r>
      <w:r>
        <w:t xml:space="preserve"> exposure would </w:t>
      </w:r>
      <w:r w:rsidR="00195C37">
        <w:t>be associated with</w:t>
      </w:r>
      <w:r>
        <w:t xml:space="preserve"> substantial benefits for mortality and morbidity from asthma, coronary heart disease and lung cancer. The overall impact would be an increase in life expectancy of two to three months and approximately 13 million QALYs </w:t>
      </w:r>
      <w:r w:rsidR="001D3D55">
        <w:t xml:space="preserve">gained </w:t>
      </w:r>
      <w:r>
        <w:t>over the 90 year follow up</w:t>
      </w:r>
      <w:r w:rsidR="001D3D55">
        <w:t xml:space="preserve"> period</w:t>
      </w:r>
      <w:r>
        <w:t xml:space="preserve">. </w:t>
      </w:r>
      <w:r w:rsidRPr="00094632">
        <w:t>Substantial quality-</w:t>
      </w:r>
      <w:r w:rsidRPr="00157759">
        <w:t xml:space="preserve">of-life benefits were also observed, with a decrease in asthma </w:t>
      </w:r>
      <w:r w:rsidR="001D3D55">
        <w:t>over all age groups</w:t>
      </w:r>
      <w:r w:rsidRPr="00157759">
        <w:t xml:space="preserve"> and larger benefits due to reduced coronary heart disease and lung cancer, particularly in older age groups. </w:t>
      </w:r>
      <w:r w:rsidR="00483DB8">
        <w:t>The multi</w:t>
      </w:r>
      <w:r w:rsidR="007E19B1" w:rsidRPr="00094632">
        <w:t xml:space="preserve">state model </w:t>
      </w:r>
      <w:r w:rsidR="00D90A0A">
        <w:t xml:space="preserve">with recovery </w:t>
      </w:r>
      <w:r w:rsidR="007E19B1" w:rsidRPr="00094632">
        <w:t>provides important additional information for assessing the impact</w:t>
      </w:r>
      <w:r w:rsidR="00D90A0A">
        <w:t xml:space="preserve"> on health</w:t>
      </w:r>
      <w:r w:rsidR="007E19B1" w:rsidRPr="00094632">
        <w:t xml:space="preserve"> of </w:t>
      </w:r>
      <w:r w:rsidR="003B02B8" w:rsidRPr="00094632">
        <w:t xml:space="preserve">environmental </w:t>
      </w:r>
      <w:r w:rsidR="007E19B1" w:rsidRPr="00094632">
        <w:t xml:space="preserve">policies and interventions compared </w:t>
      </w:r>
      <w:r w:rsidR="000A4E1A">
        <w:t>with</w:t>
      </w:r>
      <w:r w:rsidR="007E19B1" w:rsidRPr="00094632">
        <w:t xml:space="preserve"> mortality-only life table</w:t>
      </w:r>
      <w:r w:rsidR="00D90A0A">
        <w:t>s</w:t>
      </w:r>
      <w:r w:rsidR="00167F25">
        <w:t xml:space="preserve">, allowing </w:t>
      </w:r>
      <w:r w:rsidR="007E19B1" w:rsidRPr="00094632">
        <w:t xml:space="preserve">more realistic </w:t>
      </w:r>
      <w:r w:rsidR="006C6FF8" w:rsidRPr="00094632">
        <w:t xml:space="preserve">representation </w:t>
      </w:r>
      <w:r w:rsidR="007E19B1" w:rsidRPr="00094632">
        <w:t xml:space="preserve">of diseases </w:t>
      </w:r>
      <w:r w:rsidR="00072FED">
        <w:t>with substantial non-mortality burdens</w:t>
      </w:r>
      <w:r w:rsidR="007E19B1" w:rsidRPr="00094632">
        <w:t>.</w:t>
      </w:r>
    </w:p>
    <w:p w14:paraId="279E2CA1" w14:textId="77777777" w:rsidR="00E13B3B" w:rsidRDefault="00E13B3B" w:rsidP="00412DBB">
      <w:pPr>
        <w:spacing w:line="480" w:lineRule="auto"/>
        <w:rPr>
          <w:b/>
        </w:rPr>
      </w:pPr>
    </w:p>
    <w:p w14:paraId="7A22ECF5" w14:textId="77777777" w:rsidR="002A3DE1" w:rsidRPr="00E568CB" w:rsidRDefault="00162694" w:rsidP="00412DBB">
      <w:pPr>
        <w:spacing w:line="480" w:lineRule="auto"/>
        <w:ind w:left="1440" w:hanging="1440"/>
        <w:rPr>
          <w:highlight w:val="yellow"/>
        </w:rPr>
      </w:pPr>
      <w:r w:rsidRPr="00680604">
        <w:rPr>
          <w:b/>
        </w:rPr>
        <w:t>Keywords</w:t>
      </w:r>
      <w:r w:rsidRPr="00680604">
        <w:rPr>
          <w:b/>
        </w:rPr>
        <w:tab/>
      </w:r>
      <w:r w:rsidR="00E568CB" w:rsidRPr="00E568CB">
        <w:t xml:space="preserve">Indoor air pollution, Particulate matter, </w:t>
      </w:r>
      <w:r w:rsidR="0021338F" w:rsidRPr="00E568CB">
        <w:t xml:space="preserve">Health impact </w:t>
      </w:r>
      <w:r w:rsidR="0026172D" w:rsidRPr="00E568CB">
        <w:t>assessment</w:t>
      </w:r>
      <w:r w:rsidR="00A07897" w:rsidRPr="00E568CB">
        <w:t xml:space="preserve">, Quality of life, </w:t>
      </w:r>
      <w:r w:rsidR="00E568CB" w:rsidRPr="00E568CB">
        <w:t>Disease recovery</w:t>
      </w:r>
    </w:p>
    <w:p w14:paraId="28E9765B" w14:textId="77777777" w:rsidR="002A3DE1" w:rsidRDefault="002A3DE1" w:rsidP="00412DBB">
      <w:pPr>
        <w:rPr>
          <w:highlight w:val="yellow"/>
        </w:rPr>
      </w:pPr>
      <w:r>
        <w:rPr>
          <w:highlight w:val="yellow"/>
        </w:rPr>
        <w:br w:type="page"/>
      </w:r>
    </w:p>
    <w:p w14:paraId="1F6E4492" w14:textId="77777777" w:rsidR="0026172D" w:rsidRPr="00F843EE" w:rsidRDefault="0026172D" w:rsidP="00412DBB">
      <w:pPr>
        <w:spacing w:line="480" w:lineRule="auto"/>
        <w:rPr>
          <w:b/>
          <w:sz w:val="24"/>
          <w:szCs w:val="24"/>
        </w:rPr>
      </w:pPr>
      <w:r w:rsidRPr="00F843EE">
        <w:rPr>
          <w:b/>
          <w:sz w:val="24"/>
          <w:szCs w:val="24"/>
        </w:rPr>
        <w:lastRenderedPageBreak/>
        <w:t>Highlights</w:t>
      </w:r>
    </w:p>
    <w:p w14:paraId="644961C4" w14:textId="553929BD" w:rsidR="00794062" w:rsidRPr="00F843EE" w:rsidRDefault="00F843EE" w:rsidP="00412DBB">
      <w:pPr>
        <w:pStyle w:val="ListParagraph"/>
        <w:numPr>
          <w:ilvl w:val="0"/>
          <w:numId w:val="9"/>
        </w:numPr>
        <w:spacing w:line="480" w:lineRule="auto"/>
      </w:pPr>
      <w:r w:rsidRPr="00F843EE">
        <w:t>Home energy efficiency interventions</w:t>
      </w:r>
      <w:r w:rsidR="00CE2CDF">
        <w:t>, if properly implemented,</w:t>
      </w:r>
      <w:r w:rsidRPr="00F843EE">
        <w:t xml:space="preserve"> have the potential to improve indoor air quality</w:t>
      </w:r>
    </w:p>
    <w:p w14:paraId="6E38760A" w14:textId="7EC20796" w:rsidR="00C3204A" w:rsidRPr="00F843EE" w:rsidRDefault="00F843EE" w:rsidP="00412DBB">
      <w:pPr>
        <w:pStyle w:val="ListParagraph"/>
        <w:numPr>
          <w:ilvl w:val="0"/>
          <w:numId w:val="9"/>
        </w:numPr>
        <w:spacing w:line="480" w:lineRule="auto"/>
      </w:pPr>
      <w:r w:rsidRPr="00F843EE">
        <w:t xml:space="preserve">Assessing the resulting health impact requires </w:t>
      </w:r>
      <w:r>
        <w:t xml:space="preserve">a model which accounts for </w:t>
      </w:r>
      <w:r w:rsidR="00CE2CDF">
        <w:t xml:space="preserve">effects on </w:t>
      </w:r>
      <w:r>
        <w:t>both mortality and morbidity</w:t>
      </w:r>
    </w:p>
    <w:p w14:paraId="071555AC" w14:textId="77777777" w:rsidR="0026172D" w:rsidRPr="00F843EE" w:rsidRDefault="00C3204A" w:rsidP="00412DBB">
      <w:pPr>
        <w:pStyle w:val="ListParagraph"/>
        <w:numPr>
          <w:ilvl w:val="0"/>
          <w:numId w:val="9"/>
        </w:numPr>
        <w:spacing w:line="480" w:lineRule="auto"/>
      </w:pPr>
      <w:r w:rsidRPr="00F843EE">
        <w:t>This study demonstrates a new</w:t>
      </w:r>
      <w:r w:rsidR="00950BCA" w:rsidRPr="00F843EE">
        <w:t xml:space="preserve"> multi-state life table</w:t>
      </w:r>
      <w:r w:rsidRPr="00F843EE">
        <w:t xml:space="preserve"> model which incorporates morbidity impacts</w:t>
      </w:r>
    </w:p>
    <w:p w14:paraId="58845AA9" w14:textId="77777777" w:rsidR="0026172D" w:rsidRPr="00F843EE" w:rsidRDefault="00C3204A" w:rsidP="00412DBB">
      <w:pPr>
        <w:pStyle w:val="ListParagraph"/>
        <w:numPr>
          <w:ilvl w:val="0"/>
          <w:numId w:val="9"/>
        </w:numPr>
        <w:spacing w:line="480" w:lineRule="auto"/>
      </w:pPr>
      <w:r w:rsidRPr="00F843EE">
        <w:t>The model includes disease recovery, which is important for some chronic conditions like asthma</w:t>
      </w:r>
    </w:p>
    <w:p w14:paraId="6896E18E" w14:textId="77777777" w:rsidR="00C85855" w:rsidRPr="009A1EE0" w:rsidRDefault="00C3204A" w:rsidP="00412DBB">
      <w:pPr>
        <w:pStyle w:val="ListParagraph"/>
        <w:numPr>
          <w:ilvl w:val="0"/>
          <w:numId w:val="9"/>
        </w:numPr>
        <w:spacing w:line="480" w:lineRule="auto"/>
      </w:pPr>
      <w:r w:rsidRPr="00F843EE">
        <w:t>Including morbidity and recovery allows more thorough assessment of policies and interventions</w:t>
      </w:r>
      <w:r w:rsidR="00C85855" w:rsidRPr="00C3204A">
        <w:rPr>
          <w:b/>
        </w:rPr>
        <w:br w:type="page"/>
      </w:r>
    </w:p>
    <w:p w14:paraId="7F57EE75" w14:textId="77777777" w:rsidR="00704914" w:rsidRPr="00710182" w:rsidRDefault="002E5983" w:rsidP="00412DBB">
      <w:pPr>
        <w:pStyle w:val="ListParagraph"/>
        <w:numPr>
          <w:ilvl w:val="0"/>
          <w:numId w:val="8"/>
        </w:numPr>
        <w:spacing w:line="480" w:lineRule="auto"/>
        <w:rPr>
          <w:b/>
          <w:sz w:val="28"/>
          <w:szCs w:val="28"/>
        </w:rPr>
      </w:pPr>
      <w:r w:rsidRPr="00710182">
        <w:rPr>
          <w:b/>
          <w:sz w:val="28"/>
          <w:szCs w:val="28"/>
        </w:rPr>
        <w:lastRenderedPageBreak/>
        <w:t>INTRODUCTION</w:t>
      </w:r>
    </w:p>
    <w:p w14:paraId="6B63F197" w14:textId="77777777" w:rsidR="00F421C0" w:rsidRDefault="00F421C0" w:rsidP="00412DBB">
      <w:pPr>
        <w:spacing w:line="480" w:lineRule="auto"/>
      </w:pPr>
      <w:r>
        <w:t>T</w:t>
      </w:r>
      <w:r w:rsidR="0055297F" w:rsidRPr="00314DA9">
        <w:t xml:space="preserve">here is evidence to suggest that current </w:t>
      </w:r>
      <w:r w:rsidR="0055297F">
        <w:t>strategies</w:t>
      </w:r>
      <w:r w:rsidR="0055297F" w:rsidRPr="00314DA9">
        <w:t xml:space="preserve"> designed to improve housing energy efficiency for green</w:t>
      </w:r>
      <w:r w:rsidR="00195C37">
        <w:t xml:space="preserve">house gas </w:t>
      </w:r>
      <w:r w:rsidR="0055297F" w:rsidRPr="00314DA9">
        <w:t xml:space="preserve">mitigation may affect levels of various contaminants </w:t>
      </w:r>
      <w:r w:rsidR="0055297F">
        <w:t>in indoor air</w:t>
      </w:r>
      <w:r w:rsidR="00D56FF7">
        <w:t xml:space="preserve"> due to changes in the level of dwelling ventilation</w:t>
      </w:r>
      <w:r w:rsidR="0055297F">
        <w:t xml:space="preserve"> </w:t>
      </w:r>
      <w:r w:rsidR="0055297F" w:rsidRPr="00314DA9">
        <w:t xml:space="preserve">(Wilkinson et al., 2009). </w:t>
      </w:r>
      <w:r w:rsidR="00D56FF7">
        <w:t xml:space="preserve">Modelling studies have </w:t>
      </w:r>
      <w:r w:rsidR="00D56FF7" w:rsidRPr="00D56FF7">
        <w:t xml:space="preserve">demonstrated that, depending on </w:t>
      </w:r>
      <w:r w:rsidR="00D56FF7">
        <w:t>the standard of</w:t>
      </w:r>
      <w:r w:rsidR="00D56FF7" w:rsidRPr="00D56FF7">
        <w:t xml:space="preserve"> implementation and provision of compensatory purp</w:t>
      </w:r>
      <w:r w:rsidR="00D56FF7">
        <w:t>ose-provided ventilation</w:t>
      </w:r>
      <w:r w:rsidR="00D56FF7" w:rsidRPr="00D56FF7">
        <w:t xml:space="preserve">, there is the potential for </w:t>
      </w:r>
      <w:r w:rsidR="00A64C28">
        <w:t>increases or decreases in indoor concentrations</w:t>
      </w:r>
      <w:r w:rsidR="00D56FF7" w:rsidRPr="00D56FF7">
        <w:t xml:space="preserve"> (Milner et al., 2014; </w:t>
      </w:r>
      <w:proofErr w:type="spellStart"/>
      <w:r w:rsidR="00D56FF7" w:rsidRPr="00D56FF7">
        <w:t>Shrubsole</w:t>
      </w:r>
      <w:proofErr w:type="spellEnd"/>
      <w:r w:rsidR="00D56FF7" w:rsidRPr="00D56FF7">
        <w:t xml:space="preserve"> et al., 2012</w:t>
      </w:r>
      <w:r w:rsidR="007B27EF" w:rsidRPr="00D56FF7">
        <w:t>)</w:t>
      </w:r>
      <w:r w:rsidR="00D56FF7" w:rsidRPr="00D56FF7">
        <w:t xml:space="preserve">. </w:t>
      </w:r>
      <w:r w:rsidR="00D56FF7">
        <w:t xml:space="preserve">Like many environmental exposures, indoor air </w:t>
      </w:r>
      <w:r w:rsidR="00A64C28">
        <w:t>quality</w:t>
      </w:r>
      <w:r w:rsidR="00D56FF7">
        <w:t xml:space="preserve"> may be </w:t>
      </w:r>
      <w:r w:rsidR="00D56FF7" w:rsidRPr="002B3724">
        <w:t xml:space="preserve">important more for </w:t>
      </w:r>
      <w:r w:rsidR="00D56FF7">
        <w:t>its</w:t>
      </w:r>
      <w:r w:rsidR="00D56FF7" w:rsidRPr="002B3724">
        <w:t xml:space="preserve"> impact on morbidity </w:t>
      </w:r>
      <w:r w:rsidR="00D56FF7" w:rsidRPr="00314DA9">
        <w:t xml:space="preserve">and quality-of-life than </w:t>
      </w:r>
      <w:r w:rsidR="00D56FF7">
        <w:t>on mortality. Many of the affected</w:t>
      </w:r>
      <w:r>
        <w:t xml:space="preserve"> </w:t>
      </w:r>
      <w:r w:rsidR="00D56FF7">
        <w:t xml:space="preserve">indoor </w:t>
      </w:r>
      <w:r>
        <w:t>pollutants</w:t>
      </w:r>
      <w:r w:rsidR="0055297F" w:rsidRPr="00314DA9">
        <w:t xml:space="preserve">, including </w:t>
      </w:r>
      <w:r w:rsidR="0055297F">
        <w:t>fine particulate matter (</w:t>
      </w:r>
      <w:r w:rsidR="0055297F" w:rsidRPr="00314DA9">
        <w:t>PM</w:t>
      </w:r>
      <w:r w:rsidR="0055297F" w:rsidRPr="00D53669">
        <w:rPr>
          <w:vertAlign w:val="subscript"/>
        </w:rPr>
        <w:t>2.5</w:t>
      </w:r>
      <w:r w:rsidR="0055297F">
        <w:t>)</w:t>
      </w:r>
      <w:r w:rsidR="0055297F" w:rsidRPr="00314DA9">
        <w:t xml:space="preserve">, </w:t>
      </w:r>
      <w:r w:rsidR="0055297F">
        <w:t>nitrogen dioxide (</w:t>
      </w:r>
      <w:r w:rsidR="0055297F" w:rsidRPr="00314DA9">
        <w:t>NO</w:t>
      </w:r>
      <w:r w:rsidR="0055297F" w:rsidRPr="00D53669">
        <w:rPr>
          <w:vertAlign w:val="subscript"/>
        </w:rPr>
        <w:t>2</w:t>
      </w:r>
      <w:r w:rsidR="0055297F">
        <w:t>)</w:t>
      </w:r>
      <w:r w:rsidR="0055297F" w:rsidRPr="00314DA9">
        <w:t xml:space="preserve"> and mould</w:t>
      </w:r>
      <w:r w:rsidR="0055297F">
        <w:t>,</w:t>
      </w:r>
      <w:r w:rsidR="0055297F" w:rsidRPr="00314DA9">
        <w:t xml:space="preserve"> have been associated with reduced quality-of-life, primarily through </w:t>
      </w:r>
      <w:r w:rsidR="0055297F">
        <w:t>adverse respiratory e</w:t>
      </w:r>
      <w:r w:rsidR="0055297F" w:rsidRPr="00314DA9">
        <w:t>ffect</w:t>
      </w:r>
      <w:r w:rsidR="0055297F">
        <w:t>s</w:t>
      </w:r>
      <w:r w:rsidR="0055297F" w:rsidRPr="00314DA9">
        <w:t xml:space="preserve"> (Belanger et al., 2006; Fisk et al., 2007; </w:t>
      </w:r>
      <w:proofErr w:type="spellStart"/>
      <w:r w:rsidR="0055297F" w:rsidRPr="00314DA9">
        <w:t>Kattan</w:t>
      </w:r>
      <w:proofErr w:type="spellEnd"/>
      <w:r w:rsidR="0055297F" w:rsidRPr="00314DA9">
        <w:t xml:space="preserve"> et al., 2007; </w:t>
      </w:r>
      <w:proofErr w:type="spellStart"/>
      <w:r w:rsidR="0055297F" w:rsidRPr="00314DA9">
        <w:t>Simoni</w:t>
      </w:r>
      <w:proofErr w:type="spellEnd"/>
      <w:r w:rsidR="0055297F" w:rsidRPr="00314DA9">
        <w:t xml:space="preserve"> et al., 2004).</w:t>
      </w:r>
      <w:r>
        <w:t xml:space="preserve"> </w:t>
      </w:r>
      <w:r w:rsidR="00A64C28">
        <w:t xml:space="preserve">For assessing </w:t>
      </w:r>
      <w:r w:rsidR="00D56FF7">
        <w:t xml:space="preserve">health </w:t>
      </w:r>
      <w:r w:rsidR="00A64C28">
        <w:t>impacts</w:t>
      </w:r>
      <w:r w:rsidR="00D56FF7">
        <w:t xml:space="preserve"> resulting from housing interventions, p</w:t>
      </w:r>
      <w:r w:rsidRPr="00314DA9">
        <w:t>referred</w:t>
      </w:r>
      <w:r>
        <w:t xml:space="preserve"> methods of impact</w:t>
      </w:r>
      <w:r w:rsidRPr="002B3724">
        <w:t xml:space="preserve"> assessment</w:t>
      </w:r>
      <w:r w:rsidR="00D04721">
        <w:t xml:space="preserve"> should</w:t>
      </w:r>
      <w:r w:rsidRPr="002B3724">
        <w:t xml:space="preserve"> therefore incorporate morbidity as well as mortality impacts.</w:t>
      </w:r>
    </w:p>
    <w:p w14:paraId="74382E0E" w14:textId="77777777" w:rsidR="007B4A7D" w:rsidRPr="002B3724" w:rsidRDefault="00F421C0" w:rsidP="00412DBB">
      <w:pPr>
        <w:spacing w:line="480" w:lineRule="auto"/>
      </w:pPr>
      <w:r>
        <w:t>M</w:t>
      </w:r>
      <w:r w:rsidR="00CA18A8" w:rsidRPr="00CA18A8">
        <w:t xml:space="preserve">ethods for </w:t>
      </w:r>
      <w:r w:rsidR="00CE633B">
        <w:t>modelling</w:t>
      </w:r>
      <w:r w:rsidR="00CE633B" w:rsidRPr="002B3724">
        <w:t xml:space="preserve"> changes in population mortality due to changes in chronic </w:t>
      </w:r>
      <w:r w:rsidR="00A64C28">
        <w:t xml:space="preserve">environmental </w:t>
      </w:r>
      <w:r w:rsidR="00CE633B" w:rsidRPr="002B3724">
        <w:t>risk f</w:t>
      </w:r>
      <w:r w:rsidR="00CE633B">
        <w:t xml:space="preserve">actors </w:t>
      </w:r>
      <w:r w:rsidR="00570CF9">
        <w:t>are relatively well developed</w:t>
      </w:r>
      <w:r w:rsidR="00A4037C">
        <w:t xml:space="preserve"> (</w:t>
      </w:r>
      <w:proofErr w:type="spellStart"/>
      <w:r w:rsidR="00A4037C" w:rsidRPr="007B0F88">
        <w:t>Ballester</w:t>
      </w:r>
      <w:proofErr w:type="spellEnd"/>
      <w:r w:rsidR="00A4037C" w:rsidRPr="00A70AF5">
        <w:t xml:space="preserve"> </w:t>
      </w:r>
      <w:r w:rsidR="00A4037C">
        <w:t xml:space="preserve">et al., 2008; </w:t>
      </w:r>
      <w:proofErr w:type="spellStart"/>
      <w:r w:rsidR="00A4037C" w:rsidRPr="00A70AF5">
        <w:t>Röösli</w:t>
      </w:r>
      <w:proofErr w:type="spellEnd"/>
      <w:r w:rsidR="00A4037C">
        <w:t xml:space="preserve"> et al., 2005)</w:t>
      </w:r>
      <w:r w:rsidR="00570CF9">
        <w:t>.</w:t>
      </w:r>
      <w:r w:rsidR="00CA18A8" w:rsidRPr="00CA18A8">
        <w:t xml:space="preserve"> </w:t>
      </w:r>
      <w:r w:rsidR="00BF2F87">
        <w:t>A</w:t>
      </w:r>
      <w:r w:rsidR="00BF2F87" w:rsidRPr="002B3724">
        <w:t xml:space="preserve"> </w:t>
      </w:r>
      <w:r w:rsidR="00F04788" w:rsidRPr="002B3724">
        <w:t xml:space="preserve">commonly used </w:t>
      </w:r>
      <w:r w:rsidR="00DF6E86" w:rsidRPr="002B3724">
        <w:t>method</w:t>
      </w:r>
      <w:r w:rsidR="00F04788" w:rsidRPr="002B3724">
        <w:t xml:space="preserve"> </w:t>
      </w:r>
      <w:r w:rsidR="00483DB8">
        <w:t>has been the life table</w:t>
      </w:r>
      <w:r w:rsidR="00A4037C">
        <w:t xml:space="preserve"> (e.g. Miller and Hurley, 2003</w:t>
      </w:r>
      <w:r w:rsidR="00666D62">
        <w:t>), which estimates patter</w:t>
      </w:r>
      <w:r w:rsidR="00CE633B">
        <w:t>n</w:t>
      </w:r>
      <w:r w:rsidR="00666D62">
        <w:t xml:space="preserve">s of survival in a population over time. </w:t>
      </w:r>
      <w:r w:rsidR="00246401" w:rsidRPr="002B3724">
        <w:t>The</w:t>
      </w:r>
      <w:r w:rsidR="004C7F93" w:rsidRPr="002B3724">
        <w:t xml:space="preserve"> approach has </w:t>
      </w:r>
      <w:r w:rsidR="00AC732B" w:rsidRPr="002B3724">
        <w:t>been used extensively in many fields of research to study impacts on population mortality and life expectancy</w:t>
      </w:r>
      <w:r w:rsidR="00C16F23" w:rsidRPr="002B3724">
        <w:t xml:space="preserve">, including </w:t>
      </w:r>
      <w:r w:rsidR="009465AF" w:rsidRPr="002B3724">
        <w:t xml:space="preserve">assessments of </w:t>
      </w:r>
      <w:r w:rsidR="007C1469">
        <w:t xml:space="preserve">environmental </w:t>
      </w:r>
      <w:r w:rsidR="00484FC5">
        <w:t xml:space="preserve">health </w:t>
      </w:r>
      <w:r w:rsidR="009465AF" w:rsidRPr="002B3724">
        <w:t>risk</w:t>
      </w:r>
      <w:r w:rsidR="00484FC5">
        <w:t>s</w:t>
      </w:r>
      <w:r w:rsidR="009465AF" w:rsidRPr="002B3724">
        <w:t xml:space="preserve"> at national and local levels</w:t>
      </w:r>
      <w:r w:rsidR="00A4037C">
        <w:t xml:space="preserve"> (</w:t>
      </w:r>
      <w:r w:rsidR="002412E2">
        <w:t xml:space="preserve">e.g. </w:t>
      </w:r>
      <w:r w:rsidR="00A4037C">
        <w:t>COMEAP, 2010; Tonne et al., 2008)</w:t>
      </w:r>
      <w:r w:rsidR="00F16FAF" w:rsidRPr="002B3724">
        <w:t>.</w:t>
      </w:r>
      <w:r w:rsidR="00666D62">
        <w:t xml:space="preserve"> In contrast, m</w:t>
      </w:r>
      <w:r w:rsidR="00570CF9" w:rsidRPr="00CA18A8">
        <w:t xml:space="preserve">orbidity impacts are </w:t>
      </w:r>
      <w:r w:rsidR="00666D62">
        <w:t>often</w:t>
      </w:r>
      <w:r w:rsidR="00570CF9" w:rsidRPr="00CA18A8">
        <w:t xml:space="preserve"> modelled using simplified methods with little or no consideration </w:t>
      </w:r>
      <w:r w:rsidR="00EF2090">
        <w:t>given to</w:t>
      </w:r>
      <w:r w:rsidR="00570CF9" w:rsidRPr="00CA18A8">
        <w:t xml:space="preserve"> changes </w:t>
      </w:r>
      <w:r w:rsidR="00570CF9">
        <w:t>over</w:t>
      </w:r>
      <w:r w:rsidR="00570CF9" w:rsidRPr="00CA18A8">
        <w:t xml:space="preserve"> time</w:t>
      </w:r>
      <w:r w:rsidR="00A4037C">
        <w:t xml:space="preserve"> (</w:t>
      </w:r>
      <w:proofErr w:type="spellStart"/>
      <w:r w:rsidR="00A4037C" w:rsidRPr="007B0F88">
        <w:t>Schram-Bijkerk</w:t>
      </w:r>
      <w:proofErr w:type="spellEnd"/>
      <w:r w:rsidR="00A4037C">
        <w:t xml:space="preserve"> et al., 2013).</w:t>
      </w:r>
      <w:r w:rsidR="00570CF9">
        <w:t xml:space="preserve"> </w:t>
      </w:r>
      <w:r w:rsidR="00F16FAF" w:rsidRPr="002B3724">
        <w:t xml:space="preserve">One method </w:t>
      </w:r>
      <w:r w:rsidR="00943378" w:rsidRPr="002B3724">
        <w:t xml:space="preserve">of accounting for morbidity impact </w:t>
      </w:r>
      <w:r w:rsidR="00F16FAF" w:rsidRPr="002B3724">
        <w:t>is the</w:t>
      </w:r>
      <w:r w:rsidR="00483DB8">
        <w:t xml:space="preserve"> multi</w:t>
      </w:r>
      <w:r w:rsidR="00D46317" w:rsidRPr="002B3724">
        <w:t>state lif</w:t>
      </w:r>
      <w:r w:rsidR="00F16FAF" w:rsidRPr="002B3724">
        <w:t>e table</w:t>
      </w:r>
      <w:r w:rsidR="002412E2">
        <w:t xml:space="preserve"> (</w:t>
      </w:r>
      <w:proofErr w:type="spellStart"/>
      <w:r w:rsidR="00A4037C" w:rsidRPr="00A70AF5">
        <w:rPr>
          <w:lang w:val="es-ES"/>
        </w:rPr>
        <w:t>Barendregt</w:t>
      </w:r>
      <w:proofErr w:type="spellEnd"/>
      <w:r w:rsidR="00A4037C">
        <w:rPr>
          <w:lang w:val="es-ES"/>
        </w:rPr>
        <w:t xml:space="preserve"> et al., 1998; </w:t>
      </w:r>
      <w:proofErr w:type="spellStart"/>
      <w:r w:rsidR="00A4037C" w:rsidRPr="00A70AF5">
        <w:rPr>
          <w:lang w:val="es-ES"/>
        </w:rPr>
        <w:t>Feenstra</w:t>
      </w:r>
      <w:proofErr w:type="spellEnd"/>
      <w:r w:rsidR="00A4037C">
        <w:rPr>
          <w:lang w:val="es-ES"/>
        </w:rPr>
        <w:t xml:space="preserve"> et al., 2001</w:t>
      </w:r>
      <w:r w:rsidR="00A4037C">
        <w:t>)</w:t>
      </w:r>
      <w:r w:rsidR="0093520F" w:rsidRPr="002B3724">
        <w:t>,</w:t>
      </w:r>
      <w:r w:rsidR="00D46317" w:rsidRPr="002B3724">
        <w:t xml:space="preserve"> </w:t>
      </w:r>
      <w:r w:rsidR="00BF2F87">
        <w:t xml:space="preserve">an extension to the standard life table </w:t>
      </w:r>
      <w:r w:rsidR="00D924CA" w:rsidRPr="002B3724">
        <w:t xml:space="preserve">in which </w:t>
      </w:r>
      <w:r w:rsidR="00D46317" w:rsidRPr="002B3724">
        <w:t>i</w:t>
      </w:r>
      <w:r w:rsidR="00AB200B" w:rsidRPr="002B3724">
        <w:t xml:space="preserve">ndividuals in the population move between </w:t>
      </w:r>
      <w:r w:rsidR="008B7EFA" w:rsidRPr="002B3724">
        <w:t>different</w:t>
      </w:r>
      <w:r w:rsidR="00D46317" w:rsidRPr="002B3724">
        <w:t xml:space="preserve"> </w:t>
      </w:r>
      <w:proofErr w:type="gramStart"/>
      <w:r w:rsidR="007B4FB3" w:rsidRPr="002B3724">
        <w:t>health</w:t>
      </w:r>
      <w:proofErr w:type="gramEnd"/>
      <w:r w:rsidR="007B4FB3" w:rsidRPr="002B3724">
        <w:t xml:space="preserve"> </w:t>
      </w:r>
      <w:r w:rsidR="00D46317" w:rsidRPr="002B3724">
        <w:t xml:space="preserve">states, </w:t>
      </w:r>
      <w:r w:rsidR="006F3205" w:rsidRPr="002B3724">
        <w:t xml:space="preserve">including </w:t>
      </w:r>
      <w:r w:rsidR="00D46317" w:rsidRPr="002B3724">
        <w:t>death</w:t>
      </w:r>
      <w:r w:rsidR="006F3205" w:rsidRPr="002B3724">
        <w:t xml:space="preserve"> as a terminal state</w:t>
      </w:r>
      <w:r w:rsidR="00943378" w:rsidRPr="002B3724">
        <w:t>. T</w:t>
      </w:r>
      <w:r w:rsidR="00921FE7" w:rsidRPr="002B3724">
        <w:t>ime spe</w:t>
      </w:r>
      <w:r w:rsidR="00EC2B27" w:rsidRPr="002B3724">
        <w:t>n</w:t>
      </w:r>
      <w:r w:rsidR="00921FE7" w:rsidRPr="002B3724">
        <w:t xml:space="preserve">t with disease </w:t>
      </w:r>
      <w:r w:rsidR="00D924CA" w:rsidRPr="002B3724">
        <w:t xml:space="preserve">is </w:t>
      </w:r>
      <w:r w:rsidR="008B7EFA" w:rsidRPr="002B3724">
        <w:t xml:space="preserve">weighted for </w:t>
      </w:r>
      <w:r w:rsidR="006F3205" w:rsidRPr="002B3724">
        <w:t xml:space="preserve">the </w:t>
      </w:r>
      <w:r w:rsidR="00FB3C14" w:rsidRPr="002B3724">
        <w:t>reduced quality-of-</w:t>
      </w:r>
      <w:r w:rsidR="00921FE7" w:rsidRPr="002B3724">
        <w:t xml:space="preserve">life. </w:t>
      </w:r>
      <w:r w:rsidR="00503FBA" w:rsidRPr="002B3724">
        <w:t xml:space="preserve">Such models have been used to study </w:t>
      </w:r>
      <w:r w:rsidR="00D46317" w:rsidRPr="002B3724">
        <w:t>disease patterns</w:t>
      </w:r>
      <w:r w:rsidR="00503FBA" w:rsidRPr="002B3724">
        <w:t xml:space="preserve"> in older age</w:t>
      </w:r>
      <w:r w:rsidR="00A4037C">
        <w:t xml:space="preserve"> (</w:t>
      </w:r>
      <w:proofErr w:type="spellStart"/>
      <w:r w:rsidR="00A4037C" w:rsidRPr="00A70AF5">
        <w:t>Lubitz</w:t>
      </w:r>
      <w:proofErr w:type="spellEnd"/>
      <w:r w:rsidR="00A4037C">
        <w:t xml:space="preserve"> et al., 2003; </w:t>
      </w:r>
      <w:proofErr w:type="spellStart"/>
      <w:r w:rsidR="00A4037C">
        <w:t>Nusselder</w:t>
      </w:r>
      <w:proofErr w:type="spellEnd"/>
      <w:r w:rsidR="00A4037C">
        <w:t xml:space="preserve"> and </w:t>
      </w:r>
      <w:proofErr w:type="spellStart"/>
      <w:r w:rsidR="00A4037C" w:rsidRPr="00A70AF5">
        <w:t>Peeters</w:t>
      </w:r>
      <w:proofErr w:type="spellEnd"/>
      <w:r w:rsidR="00A4037C">
        <w:t xml:space="preserve">, </w:t>
      </w:r>
      <w:r w:rsidR="00A4037C">
        <w:lastRenderedPageBreak/>
        <w:t>2006)</w:t>
      </w:r>
      <w:r w:rsidR="00A64C28">
        <w:t xml:space="preserve"> but t</w:t>
      </w:r>
      <w:r w:rsidR="002C4981" w:rsidRPr="002B3724">
        <w:t xml:space="preserve">here have been relatively few </w:t>
      </w:r>
      <w:r w:rsidR="00317CBA" w:rsidRPr="002B3724">
        <w:t>application</w:t>
      </w:r>
      <w:r w:rsidR="002C4981" w:rsidRPr="002B3724">
        <w:t>s</w:t>
      </w:r>
      <w:r w:rsidR="00317CBA" w:rsidRPr="002B3724">
        <w:t xml:space="preserve"> to </w:t>
      </w:r>
      <w:r w:rsidR="002C4981" w:rsidRPr="002B3724">
        <w:t xml:space="preserve">the assessment of </w:t>
      </w:r>
      <w:r w:rsidR="00317CBA" w:rsidRPr="002B3724">
        <w:t>environmental hazards</w:t>
      </w:r>
      <w:r w:rsidR="00A4037C">
        <w:t xml:space="preserve"> (</w:t>
      </w:r>
      <w:r w:rsidR="00A4037C" w:rsidRPr="00A70AF5">
        <w:t>McCarthy</w:t>
      </w:r>
      <w:r w:rsidR="00A4037C">
        <w:t xml:space="preserve"> et al., 2002)</w:t>
      </w:r>
      <w:r w:rsidR="00A64C28">
        <w:t xml:space="preserve">. </w:t>
      </w:r>
      <w:r w:rsidR="00B71387">
        <w:t>Further, m</w:t>
      </w:r>
      <w:r w:rsidR="00483DB8">
        <w:t>ulti</w:t>
      </w:r>
      <w:r w:rsidR="00347E5D" w:rsidRPr="002B3724">
        <w:t>state life table</w:t>
      </w:r>
      <w:r w:rsidR="00A878F0" w:rsidRPr="002B3724">
        <w:t xml:space="preserve"> models </w:t>
      </w:r>
      <w:r w:rsidR="00E13AC3" w:rsidRPr="002B3724">
        <w:t>have not previously</w:t>
      </w:r>
      <w:r w:rsidR="00AB200B" w:rsidRPr="002B3724">
        <w:t xml:space="preserve"> allow</w:t>
      </w:r>
      <w:r w:rsidR="00E13AC3" w:rsidRPr="002B3724">
        <w:t>ed</w:t>
      </w:r>
      <w:r w:rsidR="00AB200B" w:rsidRPr="002B3724">
        <w:t xml:space="preserve"> for </w:t>
      </w:r>
      <w:r w:rsidR="008B7EFA" w:rsidRPr="002B3724">
        <w:t>recover</w:t>
      </w:r>
      <w:r w:rsidR="002C4981" w:rsidRPr="002B3724">
        <w:t>y</w:t>
      </w:r>
      <w:r w:rsidR="008B7EFA" w:rsidRPr="002B3724">
        <w:t xml:space="preserve"> from disease</w:t>
      </w:r>
      <w:r w:rsidR="00A64C28">
        <w:t>:</w:t>
      </w:r>
      <w:r w:rsidR="00A61824" w:rsidRPr="002B3724">
        <w:t xml:space="preserve"> </w:t>
      </w:r>
      <w:r w:rsidR="00A64C28">
        <w:t>t</w:t>
      </w:r>
      <w:r w:rsidR="00A61824" w:rsidRPr="002B3724">
        <w:t>his</w:t>
      </w:r>
      <w:r w:rsidR="00AB5307" w:rsidRPr="002B3724">
        <w:t xml:space="preserve"> is</w:t>
      </w:r>
      <w:r w:rsidR="00A61824" w:rsidRPr="002B3724">
        <w:t xml:space="preserve"> </w:t>
      </w:r>
      <w:r w:rsidR="00115E11">
        <w:t xml:space="preserve">potentially </w:t>
      </w:r>
      <w:r w:rsidR="00943378" w:rsidRPr="002B3724">
        <w:t>an</w:t>
      </w:r>
      <w:r w:rsidR="00AB5307" w:rsidRPr="002B3724">
        <w:t xml:space="preserve"> important </w:t>
      </w:r>
      <w:r w:rsidR="00943378" w:rsidRPr="002B3724">
        <w:t xml:space="preserve">limitation </w:t>
      </w:r>
      <w:r w:rsidR="00AB5307" w:rsidRPr="002B3724">
        <w:t xml:space="preserve">for conditions such as </w:t>
      </w:r>
      <w:r w:rsidR="00D46317" w:rsidRPr="002B3724">
        <w:t>childhood asthma</w:t>
      </w:r>
      <w:r w:rsidR="00AB5307" w:rsidRPr="002B3724">
        <w:t xml:space="preserve">, which </w:t>
      </w:r>
      <w:r w:rsidR="00943378" w:rsidRPr="002B3724">
        <w:t xml:space="preserve">are often </w:t>
      </w:r>
      <w:r w:rsidR="00AB5307" w:rsidRPr="002B3724">
        <w:t>transitory</w:t>
      </w:r>
      <w:r w:rsidR="00A4037C">
        <w:t xml:space="preserve"> (</w:t>
      </w:r>
      <w:r w:rsidR="00A4037C" w:rsidRPr="00A70AF5">
        <w:t>Sears</w:t>
      </w:r>
      <w:r w:rsidR="00A4037C">
        <w:t xml:space="preserve"> et al.</w:t>
      </w:r>
      <w:r w:rsidR="00A64C28">
        <w:t>,</w:t>
      </w:r>
      <w:r w:rsidR="00A4037C">
        <w:t xml:space="preserve"> 2003)</w:t>
      </w:r>
      <w:r w:rsidR="00AB200B" w:rsidRPr="002B3724">
        <w:t>.</w:t>
      </w:r>
    </w:p>
    <w:p w14:paraId="2A4BC733" w14:textId="77777777" w:rsidR="006B73C3" w:rsidRDefault="006729A0" w:rsidP="00412DBB">
      <w:pPr>
        <w:spacing w:line="480" w:lineRule="auto"/>
      </w:pPr>
      <w:r w:rsidRPr="00094632">
        <w:t xml:space="preserve">In this paper </w:t>
      </w:r>
      <w:r w:rsidR="00AB5307" w:rsidRPr="00094632">
        <w:t xml:space="preserve">we </w:t>
      </w:r>
      <w:r w:rsidR="00483DB8">
        <w:t xml:space="preserve">present </w:t>
      </w:r>
      <w:r w:rsidR="00AE5E47">
        <w:t xml:space="preserve">an assessment of </w:t>
      </w:r>
      <w:r w:rsidR="00AE5E47" w:rsidRPr="00094632">
        <w:t xml:space="preserve">the </w:t>
      </w:r>
      <w:r w:rsidR="00710182">
        <w:t xml:space="preserve">health </w:t>
      </w:r>
      <w:r w:rsidR="00AE5E47" w:rsidRPr="00094632">
        <w:t>impact of changes in indoor fine particle pollution that might arise under future energy efficie</w:t>
      </w:r>
      <w:r w:rsidR="00AE5E47">
        <w:t xml:space="preserve">ncy improvements in UK </w:t>
      </w:r>
      <w:r w:rsidR="00AE5E47" w:rsidRPr="002B3724">
        <w:t>housing</w:t>
      </w:r>
      <w:r w:rsidR="00B71387">
        <w:t>. The work uses</w:t>
      </w:r>
      <w:r w:rsidR="00AE5E47">
        <w:t xml:space="preserve"> </w:t>
      </w:r>
      <w:r w:rsidR="00483DB8">
        <w:t>a new</w:t>
      </w:r>
      <w:r w:rsidR="00710182">
        <w:t>ly developed</w:t>
      </w:r>
      <w:r w:rsidR="00483DB8">
        <w:t xml:space="preserve"> multi</w:t>
      </w:r>
      <w:r w:rsidRPr="00094632">
        <w:t xml:space="preserve">state life table </w:t>
      </w:r>
      <w:r w:rsidR="00910723">
        <w:t>model</w:t>
      </w:r>
      <w:r w:rsidR="00B71387">
        <w:t xml:space="preserve"> which</w:t>
      </w:r>
      <w:r w:rsidR="00D44AED" w:rsidRPr="00094632">
        <w:t xml:space="preserve"> </w:t>
      </w:r>
      <w:r w:rsidR="00910723">
        <w:t xml:space="preserve">integrates morbidity into the standard life table method and </w:t>
      </w:r>
      <w:r w:rsidR="00D44AED" w:rsidRPr="00094632">
        <w:t>incorporates transitions between disease states</w:t>
      </w:r>
      <w:r w:rsidR="00B71387">
        <w:t>,</w:t>
      </w:r>
      <w:r w:rsidR="00D44AED" w:rsidRPr="00094632">
        <w:t xml:space="preserve"> </w:t>
      </w:r>
      <w:r w:rsidR="00943378" w:rsidRPr="00094632">
        <w:t xml:space="preserve">including </w:t>
      </w:r>
      <w:r w:rsidR="00A64C28">
        <w:t>the potential to recover from</w:t>
      </w:r>
      <w:r w:rsidR="00F421C0">
        <w:t xml:space="preserve"> </w:t>
      </w:r>
      <w:r w:rsidR="00A64C28">
        <w:t>(and relapse to)</w:t>
      </w:r>
      <w:r w:rsidR="00F421C0">
        <w:t xml:space="preserve"> disease</w:t>
      </w:r>
      <w:r w:rsidR="00AE5E47">
        <w:t>.</w:t>
      </w:r>
    </w:p>
    <w:p w14:paraId="3825A999" w14:textId="77777777" w:rsidR="006B73C3" w:rsidRDefault="006B73C3" w:rsidP="00412DBB">
      <w:r>
        <w:br w:type="page"/>
      </w:r>
    </w:p>
    <w:p w14:paraId="17E823A8" w14:textId="77777777" w:rsidR="00C6645B" w:rsidRPr="00710182" w:rsidRDefault="00D375CB" w:rsidP="00553513">
      <w:pPr>
        <w:pStyle w:val="ListParagraph"/>
        <w:numPr>
          <w:ilvl w:val="0"/>
          <w:numId w:val="8"/>
        </w:numPr>
        <w:spacing w:line="480" w:lineRule="auto"/>
        <w:rPr>
          <w:b/>
          <w:sz w:val="28"/>
          <w:szCs w:val="28"/>
        </w:rPr>
      </w:pPr>
      <w:r w:rsidRPr="00710182">
        <w:rPr>
          <w:b/>
          <w:sz w:val="28"/>
          <w:szCs w:val="28"/>
        </w:rPr>
        <w:lastRenderedPageBreak/>
        <w:t>METHODS</w:t>
      </w:r>
    </w:p>
    <w:p w14:paraId="3FACAC0A" w14:textId="637E487B" w:rsidR="00902247" w:rsidRDefault="00902247" w:rsidP="00412DBB">
      <w:pPr>
        <w:spacing w:after="120" w:line="480" w:lineRule="auto"/>
      </w:pPr>
      <w:r>
        <w:t>O</w:t>
      </w:r>
      <w:r w:rsidRPr="00094632">
        <w:t xml:space="preserve">ur </w:t>
      </w:r>
      <w:r w:rsidR="00F509D9">
        <w:t>analysis</w:t>
      </w:r>
      <w:r w:rsidRPr="00094632">
        <w:t xml:space="preserve"> focuses on exposure to particulate air pollution with maximum aerodynamic diameter of 2.5 microns (PM</w:t>
      </w:r>
      <w:r w:rsidRPr="00902247">
        <w:rPr>
          <w:vertAlign w:val="subscript"/>
        </w:rPr>
        <w:t>2.5</w:t>
      </w:r>
      <w:r w:rsidRPr="00094632">
        <w:t>)</w:t>
      </w:r>
      <w:r>
        <w:t xml:space="preserve">. A </w:t>
      </w:r>
      <w:r w:rsidRPr="00094632">
        <w:t xml:space="preserve">study of the public health </w:t>
      </w:r>
      <w:r>
        <w:t>‘</w:t>
      </w:r>
      <w:r w:rsidRPr="00094632">
        <w:t>co-benefits</w:t>
      </w:r>
      <w:r>
        <w:t xml:space="preserve">’ of </w:t>
      </w:r>
      <w:r w:rsidRPr="00094632">
        <w:t>household energy</w:t>
      </w:r>
      <w:r>
        <w:t xml:space="preserve"> efficiency</w:t>
      </w:r>
      <w:r w:rsidRPr="00094632">
        <w:t xml:space="preserve"> policies</w:t>
      </w:r>
      <w:r>
        <w:t xml:space="preserve"> for climate change </w:t>
      </w:r>
      <w:r w:rsidRPr="002B3724">
        <w:t>mitigation</w:t>
      </w:r>
      <w:r>
        <w:t xml:space="preserve"> in the UK was used as the basis for an assessment of the impact on health of changes in indoor PM</w:t>
      </w:r>
      <w:r w:rsidRPr="00902247">
        <w:rPr>
          <w:vertAlign w:val="subscript"/>
        </w:rPr>
        <w:t>2.5</w:t>
      </w:r>
      <w:r>
        <w:t xml:space="preserve"> exposure (Wilkinson et al., 2009)</w:t>
      </w:r>
      <w:r w:rsidR="00596213">
        <w:t>.</w:t>
      </w:r>
      <w:r>
        <w:t xml:space="preserve"> </w:t>
      </w:r>
      <w:r w:rsidR="00596213">
        <w:t>In the study, c</w:t>
      </w:r>
      <w:r w:rsidRPr="00094632">
        <w:t xml:space="preserve">hanges in </w:t>
      </w:r>
      <w:r w:rsidR="008C039A">
        <w:t xml:space="preserve">residential </w:t>
      </w:r>
      <w:r w:rsidRPr="00094632">
        <w:t>indoor PM</w:t>
      </w:r>
      <w:r w:rsidRPr="00902247">
        <w:rPr>
          <w:vertAlign w:val="subscript"/>
        </w:rPr>
        <w:t>2.5</w:t>
      </w:r>
      <w:r w:rsidRPr="00094632">
        <w:t xml:space="preserve"> exposures for the UK population were modelled u</w:t>
      </w:r>
      <w:r w:rsidR="008C039A">
        <w:t xml:space="preserve">sing a </w:t>
      </w:r>
      <w:proofErr w:type="spellStart"/>
      <w:r w:rsidR="008C039A">
        <w:t>multizone</w:t>
      </w:r>
      <w:proofErr w:type="spellEnd"/>
      <w:r w:rsidR="008C039A">
        <w:t xml:space="preserve"> building model</w:t>
      </w:r>
      <w:r w:rsidRPr="00094632">
        <w:t xml:space="preserve"> for four hypothetical greenhouse gas </w:t>
      </w:r>
      <w:r w:rsidR="008C039A">
        <w:t xml:space="preserve">emission </w:t>
      </w:r>
      <w:r w:rsidRPr="00094632">
        <w:t>reduction strategies (building fabric improvements, improved ventilation, fuel switching, and occupant behaviour changes) whose net effect was to reduce annual average PM</w:t>
      </w:r>
      <w:r w:rsidRPr="00902247">
        <w:rPr>
          <w:vertAlign w:val="subscript"/>
        </w:rPr>
        <w:t>2.5</w:t>
      </w:r>
      <w:r w:rsidRPr="00094632">
        <w:t xml:space="preserve"> indoor concentrations by 3.0 µg m</w:t>
      </w:r>
      <w:r w:rsidRPr="00902247">
        <w:rPr>
          <w:vertAlign w:val="superscript"/>
        </w:rPr>
        <w:t>-3</w:t>
      </w:r>
      <w:r w:rsidRPr="00094632">
        <w:t xml:space="preserve"> by 2050, compared with the 2010 baseline</w:t>
      </w:r>
      <w:r>
        <w:t>.</w:t>
      </w:r>
    </w:p>
    <w:p w14:paraId="5E50C476" w14:textId="33C07A3A" w:rsidR="00162814" w:rsidRPr="00094632" w:rsidRDefault="00902247" w:rsidP="00412DBB">
      <w:pPr>
        <w:spacing w:line="480" w:lineRule="auto"/>
      </w:pPr>
      <w:r>
        <w:t xml:space="preserve">To assess the </w:t>
      </w:r>
      <w:r w:rsidR="007118CF">
        <w:t xml:space="preserve">potential </w:t>
      </w:r>
      <w:r>
        <w:t>impact on both mortality and morbidity of this reduction in indoor PM</w:t>
      </w:r>
      <w:r w:rsidRPr="00902247">
        <w:rPr>
          <w:vertAlign w:val="subscript"/>
        </w:rPr>
        <w:t>2.5</w:t>
      </w:r>
      <w:r>
        <w:t xml:space="preserve"> exposure in </w:t>
      </w:r>
      <w:r w:rsidR="00685A3A">
        <w:t>England and Wales</w:t>
      </w:r>
      <w:r>
        <w:t xml:space="preserve">, we </w:t>
      </w:r>
      <w:r w:rsidR="008C039A">
        <w:t xml:space="preserve">have </w:t>
      </w:r>
      <w:r>
        <w:t>developed a multi</w:t>
      </w:r>
      <w:r w:rsidRPr="00094632">
        <w:t xml:space="preserve">state life table model </w:t>
      </w:r>
      <w:r>
        <w:t>which</w:t>
      </w:r>
      <w:r w:rsidRPr="00094632">
        <w:t xml:space="preserve"> allows individuals </w:t>
      </w:r>
      <w:r>
        <w:t xml:space="preserve">in the population </w:t>
      </w:r>
      <w:r w:rsidRPr="00094632">
        <w:t xml:space="preserve">to exist in, and move between, a </w:t>
      </w:r>
      <w:r w:rsidRPr="00D213ED">
        <w:rPr>
          <w:i/>
        </w:rPr>
        <w:t>good health</w:t>
      </w:r>
      <w:r w:rsidRPr="00D213ED">
        <w:t xml:space="preserve"> state, a number of </w:t>
      </w:r>
      <w:r w:rsidRPr="00D213ED">
        <w:rPr>
          <w:i/>
        </w:rPr>
        <w:t>disease</w:t>
      </w:r>
      <w:r w:rsidRPr="00D213ED">
        <w:t xml:space="preserve"> states, a </w:t>
      </w:r>
      <w:r w:rsidRPr="00D213ED">
        <w:rPr>
          <w:i/>
        </w:rPr>
        <w:t>recovered</w:t>
      </w:r>
      <w:r w:rsidRPr="00D213ED">
        <w:t xml:space="preserve"> state and </w:t>
      </w:r>
      <w:r w:rsidRPr="00D213ED">
        <w:rPr>
          <w:i/>
        </w:rPr>
        <w:t>death</w:t>
      </w:r>
      <w:r w:rsidRPr="00094632">
        <w:t xml:space="preserve">. A simplifying assumption is that individuals may have only one form of disease at a time. Inclusion of a recovered state is important to allow the rate at which individuals relapse to </w:t>
      </w:r>
      <w:r w:rsidR="0036358F">
        <w:t xml:space="preserve">potentially </w:t>
      </w:r>
      <w:r w:rsidRPr="00094632">
        <w:t xml:space="preserve">differ from the rate at which individuals acquire disease from good health. The model </w:t>
      </w:r>
      <w:r>
        <w:t>was</w:t>
      </w:r>
      <w:r w:rsidRPr="00094632">
        <w:t xml:space="preserve"> implemented using the </w:t>
      </w:r>
      <w:r>
        <w:t>open source statistical software R (R Core Team, 2012)</w:t>
      </w:r>
      <w:r w:rsidRPr="00094632">
        <w:t>.</w:t>
      </w:r>
      <w:r w:rsidR="00162814">
        <w:t xml:space="preserve"> In this work, t</w:t>
      </w:r>
      <w:r w:rsidR="00162814" w:rsidRPr="00094632">
        <w:t>he impact of PM</w:t>
      </w:r>
      <w:r w:rsidR="00162814" w:rsidRPr="00094632">
        <w:rPr>
          <w:vertAlign w:val="subscript"/>
        </w:rPr>
        <w:t>2.5</w:t>
      </w:r>
      <w:r w:rsidR="00162814" w:rsidRPr="00094632">
        <w:t xml:space="preserve"> changes </w:t>
      </w:r>
      <w:r w:rsidR="00162814">
        <w:t xml:space="preserve">was calculated </w:t>
      </w:r>
      <w:r w:rsidR="00162814" w:rsidRPr="00094632">
        <w:t>on all-cause mortality, cardiovascul</w:t>
      </w:r>
      <w:r w:rsidR="00162814">
        <w:t xml:space="preserve">ar (coronary heart disease), </w:t>
      </w:r>
      <w:r w:rsidR="00162814" w:rsidRPr="00094632">
        <w:t>lung cancer</w:t>
      </w:r>
      <w:r w:rsidR="00162814">
        <w:t>,</w:t>
      </w:r>
      <w:r w:rsidR="00162814" w:rsidRPr="00094632">
        <w:t xml:space="preserve"> </w:t>
      </w:r>
      <w:r w:rsidR="00162814">
        <w:t>and asthma mortality and morbidity (</w:t>
      </w:r>
      <w:r w:rsidR="00162814" w:rsidRPr="00A70AF5">
        <w:t>US EPA</w:t>
      </w:r>
      <w:r w:rsidR="00162814">
        <w:t>, 2009)</w:t>
      </w:r>
      <w:r w:rsidR="00162814" w:rsidRPr="002B3724">
        <w:t xml:space="preserve"> </w:t>
      </w:r>
      <w:r w:rsidR="00162814">
        <w:t>(Fig. 1).</w:t>
      </w:r>
    </w:p>
    <w:p w14:paraId="5B8DD1FC" w14:textId="77777777" w:rsidR="00246401" w:rsidRPr="00094632" w:rsidRDefault="00246401" w:rsidP="00412DBB">
      <w:pPr>
        <w:spacing w:line="480" w:lineRule="auto"/>
      </w:pPr>
    </w:p>
    <w:p w14:paraId="6ABD98B2" w14:textId="77777777" w:rsidR="004610AD" w:rsidRPr="00710182" w:rsidRDefault="003E3549" w:rsidP="00553513">
      <w:pPr>
        <w:spacing w:line="480" w:lineRule="auto"/>
        <w:ind w:left="720"/>
        <w:rPr>
          <w:b/>
          <w:sz w:val="24"/>
          <w:szCs w:val="24"/>
        </w:rPr>
      </w:pPr>
      <w:r w:rsidRPr="00710182">
        <w:rPr>
          <w:b/>
          <w:sz w:val="24"/>
          <w:szCs w:val="24"/>
        </w:rPr>
        <w:t xml:space="preserve">2.1 </w:t>
      </w:r>
      <w:r w:rsidR="00B369F4" w:rsidRPr="00710182">
        <w:rPr>
          <w:b/>
          <w:sz w:val="24"/>
          <w:szCs w:val="24"/>
        </w:rPr>
        <w:t xml:space="preserve">Model </w:t>
      </w:r>
      <w:r w:rsidR="00373A5C" w:rsidRPr="00710182">
        <w:rPr>
          <w:b/>
          <w:sz w:val="24"/>
          <w:szCs w:val="24"/>
        </w:rPr>
        <w:t>description</w:t>
      </w:r>
    </w:p>
    <w:p w14:paraId="0697D0F0" w14:textId="46BC0574" w:rsidR="00AA4B13" w:rsidRPr="00D213ED" w:rsidRDefault="00483DB8" w:rsidP="00412DBB">
      <w:pPr>
        <w:spacing w:line="480" w:lineRule="auto"/>
      </w:pPr>
      <w:r>
        <w:t>The multi</w:t>
      </w:r>
      <w:r w:rsidR="00A64623" w:rsidRPr="00094632">
        <w:t xml:space="preserve">state life table calculations are based on relatively simple </w:t>
      </w:r>
      <w:r w:rsidR="0070153F" w:rsidRPr="00094632">
        <w:t xml:space="preserve">population balance </w:t>
      </w:r>
      <w:r w:rsidR="00A64623" w:rsidRPr="00094632">
        <w:t>arithmetic</w:t>
      </w:r>
      <w:r w:rsidR="00AB0473" w:rsidRPr="00094632">
        <w:t xml:space="preserve"> extended to disease recovery and relapse</w:t>
      </w:r>
      <w:r w:rsidR="00A64623" w:rsidRPr="00094632">
        <w:t>.</w:t>
      </w:r>
      <w:r w:rsidR="00D97A82" w:rsidRPr="00094632">
        <w:t xml:space="preserve"> </w:t>
      </w:r>
      <w:r w:rsidR="00394631">
        <w:t xml:space="preserve">That is, the population leaving any state </w:t>
      </w:r>
      <w:r w:rsidR="00893B69">
        <w:t xml:space="preserve">each year </w:t>
      </w:r>
      <w:r w:rsidR="00394631">
        <w:t>must be balanced by an equivalent movement of individuals into other states</w:t>
      </w:r>
      <w:r w:rsidR="0011210D">
        <w:t xml:space="preserve"> (which may include death)</w:t>
      </w:r>
      <w:r w:rsidR="00394631">
        <w:t xml:space="preserve">. </w:t>
      </w:r>
      <w:r w:rsidR="00F13DAA" w:rsidRPr="00094632">
        <w:lastRenderedPageBreak/>
        <w:t xml:space="preserve">The starting point is to calculate the </w:t>
      </w:r>
      <w:r w:rsidR="000C7419" w:rsidRPr="00094632">
        <w:t xml:space="preserve">probability </w:t>
      </w:r>
      <w:r w:rsidR="00F13DAA" w:rsidRPr="00094632">
        <w:t xml:space="preserve">of movement between every </w:t>
      </w:r>
      <w:r w:rsidR="00E71B4D" w:rsidRPr="00094632">
        <w:t xml:space="preserve">permissible </w:t>
      </w:r>
      <w:r w:rsidR="00F13DAA" w:rsidRPr="00094632">
        <w:t xml:space="preserve">combination of </w:t>
      </w:r>
      <w:r w:rsidR="00C72707" w:rsidRPr="00094632">
        <w:t xml:space="preserve">health </w:t>
      </w:r>
      <w:r w:rsidR="00F13DAA" w:rsidRPr="00094632">
        <w:t xml:space="preserve">states at </w:t>
      </w:r>
      <w:r w:rsidR="00EE2D89" w:rsidRPr="00094632">
        <w:t>each</w:t>
      </w:r>
      <w:r w:rsidR="00F13DAA" w:rsidRPr="00094632">
        <w:t xml:space="preserve"> age. </w:t>
      </w:r>
      <w:r w:rsidR="005D20E8" w:rsidRPr="00094632">
        <w:t xml:space="preserve">These </w:t>
      </w:r>
      <w:r w:rsidR="000C7419" w:rsidRPr="00094632">
        <w:t xml:space="preserve">probabilities are derived from </w:t>
      </w:r>
      <w:r w:rsidR="005D20E8" w:rsidRPr="00094632">
        <w:t>age-</w:t>
      </w:r>
      <w:r w:rsidR="005D20E8" w:rsidRPr="00D213ED">
        <w:t xml:space="preserve">specific population, all-cause </w:t>
      </w:r>
      <w:r w:rsidR="000C7419" w:rsidRPr="00D213ED">
        <w:t xml:space="preserve">and disease-specific </w:t>
      </w:r>
      <w:r w:rsidR="005D20E8" w:rsidRPr="00D213ED">
        <w:t xml:space="preserve">mortality, </w:t>
      </w:r>
      <w:r w:rsidR="000C7419" w:rsidRPr="00D213ED">
        <w:t xml:space="preserve">and disease </w:t>
      </w:r>
      <w:r w:rsidR="005D20E8" w:rsidRPr="00D213ED">
        <w:t>prevalence and incidence</w:t>
      </w:r>
      <w:r w:rsidR="000C7419" w:rsidRPr="00D213ED">
        <w:t xml:space="preserve"> data</w:t>
      </w:r>
      <w:r w:rsidR="005D20E8" w:rsidRPr="00D213ED">
        <w:t xml:space="preserve">. </w:t>
      </w:r>
      <w:r w:rsidR="00720840" w:rsidRPr="00D213ED">
        <w:t xml:space="preserve">The </w:t>
      </w:r>
      <w:r w:rsidR="000C7419" w:rsidRPr="00D213ED">
        <w:t xml:space="preserve">probability </w:t>
      </w:r>
      <w:r w:rsidR="00720840" w:rsidRPr="00D213ED">
        <w:t xml:space="preserve">of movement to state </w:t>
      </w:r>
      <w:r w:rsidR="00720840" w:rsidRPr="00D213ED">
        <w:rPr>
          <w:i/>
        </w:rPr>
        <w:t>k</w:t>
      </w:r>
      <w:r w:rsidR="00720840" w:rsidRPr="00D213ED">
        <w:t xml:space="preserve"> from state </w:t>
      </w:r>
      <w:r w:rsidR="00720840" w:rsidRPr="00D213ED">
        <w:rPr>
          <w:i/>
        </w:rPr>
        <w:t>j</w:t>
      </w:r>
      <w:r w:rsidR="00995AC2" w:rsidRPr="00D213ED">
        <w:t xml:space="preserve"> at age </w:t>
      </w:r>
      <w:proofErr w:type="spellStart"/>
      <w:r w:rsidR="00995AC2" w:rsidRPr="00D213ED">
        <w:rPr>
          <w:i/>
        </w:rPr>
        <w:t>i</w:t>
      </w:r>
      <w:proofErr w:type="spellEnd"/>
      <w:r w:rsidR="00995AC2" w:rsidRPr="00D213ED">
        <w:t xml:space="preserve"> </w:t>
      </w:r>
      <w:r w:rsidR="001C5F2D" w:rsidRPr="00D213ED">
        <w:t>(</w:t>
      </w:r>
      <w:proofErr w:type="spellStart"/>
      <w:r w:rsidR="001C5F2D" w:rsidRPr="00D213ED">
        <w:rPr>
          <w:i/>
        </w:rPr>
        <w:t>h</w:t>
      </w:r>
      <w:r w:rsidR="001C5F2D" w:rsidRPr="00D213ED">
        <w:rPr>
          <w:i/>
          <w:vertAlign w:val="subscript"/>
        </w:rPr>
        <w:t>i,j,k</w:t>
      </w:r>
      <w:proofErr w:type="spellEnd"/>
      <w:r w:rsidR="001C5F2D" w:rsidRPr="00D213ED">
        <w:t xml:space="preserve">) </w:t>
      </w:r>
      <w:r w:rsidR="00720840" w:rsidRPr="00D213ED">
        <w:t xml:space="preserve">is found from the number of individuals moving from </w:t>
      </w:r>
      <w:r w:rsidR="00720840" w:rsidRPr="00D213ED">
        <w:rPr>
          <w:i/>
        </w:rPr>
        <w:t>j</w:t>
      </w:r>
      <w:r w:rsidR="00720840" w:rsidRPr="00D213ED">
        <w:t xml:space="preserve"> to </w:t>
      </w:r>
      <w:r w:rsidR="00720840" w:rsidRPr="00D213ED">
        <w:rPr>
          <w:i/>
        </w:rPr>
        <w:t>k</w:t>
      </w:r>
      <w:r w:rsidR="00720840" w:rsidRPr="00D213ED">
        <w:t xml:space="preserve"> </w:t>
      </w:r>
      <w:r w:rsidR="00EB532C" w:rsidRPr="00D213ED">
        <w:t xml:space="preserve">at age </w:t>
      </w:r>
      <w:proofErr w:type="spellStart"/>
      <w:r w:rsidR="00EB532C" w:rsidRPr="00D213ED">
        <w:rPr>
          <w:i/>
        </w:rPr>
        <w:t>i</w:t>
      </w:r>
      <w:proofErr w:type="spellEnd"/>
      <w:r w:rsidR="00EB532C" w:rsidRPr="00D213ED">
        <w:t xml:space="preserve"> (</w:t>
      </w:r>
      <w:proofErr w:type="spellStart"/>
      <w:r w:rsidR="00EB532C" w:rsidRPr="00D213ED">
        <w:rPr>
          <w:i/>
        </w:rPr>
        <w:t>n</w:t>
      </w:r>
      <w:r w:rsidR="00EB532C" w:rsidRPr="00D213ED">
        <w:rPr>
          <w:i/>
          <w:vertAlign w:val="subscript"/>
        </w:rPr>
        <w:t>i</w:t>
      </w:r>
      <w:r w:rsidR="00EB532C" w:rsidRPr="00D213ED">
        <w:rPr>
          <w:vertAlign w:val="subscript"/>
        </w:rPr>
        <w:t>,</w:t>
      </w:r>
      <w:r w:rsidR="00EB532C" w:rsidRPr="00D213ED">
        <w:rPr>
          <w:i/>
          <w:vertAlign w:val="subscript"/>
        </w:rPr>
        <w:t>j</w:t>
      </w:r>
      <w:r w:rsidR="00EB532C" w:rsidRPr="00D213ED">
        <w:rPr>
          <w:vertAlign w:val="subscript"/>
        </w:rPr>
        <w:t>,</w:t>
      </w:r>
      <w:r w:rsidR="00EB532C" w:rsidRPr="00D213ED">
        <w:rPr>
          <w:i/>
          <w:vertAlign w:val="subscript"/>
        </w:rPr>
        <w:t>k</w:t>
      </w:r>
      <w:proofErr w:type="spellEnd"/>
      <w:r w:rsidR="00EB532C" w:rsidRPr="00D213ED">
        <w:t xml:space="preserve">) </w:t>
      </w:r>
      <w:r w:rsidR="00720840" w:rsidRPr="00D213ED">
        <w:t xml:space="preserve">divided by the population of state </w:t>
      </w:r>
      <w:r w:rsidR="00720840" w:rsidRPr="00D213ED">
        <w:rPr>
          <w:i/>
        </w:rPr>
        <w:t>j</w:t>
      </w:r>
      <w:r w:rsidR="00EB532C" w:rsidRPr="00D213ED">
        <w:t xml:space="preserve"> at </w:t>
      </w:r>
      <w:r w:rsidR="006B5283" w:rsidRPr="00D213ED">
        <w:t xml:space="preserve">that </w:t>
      </w:r>
      <w:r w:rsidR="00EB532C" w:rsidRPr="00D213ED">
        <w:t>age (</w:t>
      </w:r>
      <w:proofErr w:type="spellStart"/>
      <w:r w:rsidR="00EB532C" w:rsidRPr="00D213ED">
        <w:rPr>
          <w:i/>
        </w:rPr>
        <w:t>p</w:t>
      </w:r>
      <w:r w:rsidR="00EB532C" w:rsidRPr="00D213ED">
        <w:rPr>
          <w:i/>
          <w:vertAlign w:val="subscript"/>
        </w:rPr>
        <w:t>i</w:t>
      </w:r>
      <w:r w:rsidR="00EB532C" w:rsidRPr="00D213ED">
        <w:rPr>
          <w:vertAlign w:val="subscript"/>
        </w:rPr>
        <w:t>,</w:t>
      </w:r>
      <w:r w:rsidR="00EB532C" w:rsidRPr="00D213ED">
        <w:rPr>
          <w:i/>
          <w:vertAlign w:val="subscript"/>
        </w:rPr>
        <w:t>j</w:t>
      </w:r>
      <w:proofErr w:type="spellEnd"/>
      <w:r w:rsidR="00EB532C" w:rsidRPr="00D213ED">
        <w:t>)</w:t>
      </w:r>
    </w:p>
    <w:p w14:paraId="09374CBA" w14:textId="77777777" w:rsidR="00720840" w:rsidRPr="00094632" w:rsidRDefault="00EC1434" w:rsidP="00412DBB">
      <w:pPr>
        <w:spacing w:line="480" w:lineRule="auto"/>
        <w:rPr>
          <w:rFonts w:ascii="Calibri" w:hAnsi="Calibri" w:cstheme="minorHAnsi"/>
        </w:rPr>
      </w:pPr>
      <m:oMathPara>
        <m:oMathParaPr>
          <m:jc m:val="center"/>
        </m:oMathParaPr>
        <m:oMath>
          <m:sSub>
            <m:sSubPr>
              <m:ctrlPr>
                <w:rPr>
                  <w:rFonts w:ascii="Cambria Math" w:hAnsi="Calibri" w:cstheme="minorHAnsi"/>
                  <w:i/>
                </w:rPr>
              </m:ctrlPr>
            </m:sSubPr>
            <m:e>
              <m:r>
                <w:rPr>
                  <w:rFonts w:ascii="Calibri" w:hAnsi="Cambria Math" w:cstheme="minorHAnsi"/>
                </w:rPr>
                <m:t>h</m:t>
              </m:r>
            </m:e>
            <m:sub>
              <m:r>
                <w:rPr>
                  <w:rFonts w:ascii="Cambria Math" w:hAnsi="Cambria Math" w:cstheme="minorHAnsi"/>
                </w:rPr>
                <m:t>i</m:t>
              </m:r>
              <m:r>
                <w:rPr>
                  <w:rFonts w:ascii="Cambria Math" w:hAnsi="Calibri" w:cstheme="minorHAnsi"/>
                </w:rPr>
                <m:t>,</m:t>
              </m:r>
              <m:r>
                <w:rPr>
                  <w:rFonts w:ascii="Cambria Math" w:hAnsi="Cambria Math" w:cstheme="minorHAnsi"/>
                </w:rPr>
                <m:t>j</m:t>
              </m:r>
              <m:r>
                <w:rPr>
                  <w:rFonts w:ascii="Cambria Math" w:hAnsi="Calibri" w:cstheme="minorHAnsi"/>
                </w:rPr>
                <m:t>,</m:t>
              </m:r>
              <m:r>
                <w:rPr>
                  <w:rFonts w:ascii="Cambria Math" w:hAnsi="Cambria Math" w:cstheme="minorHAnsi"/>
                </w:rPr>
                <m:t>k</m:t>
              </m:r>
            </m:sub>
          </m:sSub>
          <m:r>
            <w:rPr>
              <w:rFonts w:ascii="Cambria Math" w:hAnsi="Calibri" w:cstheme="minorHAnsi"/>
            </w:rPr>
            <m:t>=</m:t>
          </m:r>
          <m:f>
            <m:fPr>
              <m:type m:val="lin"/>
              <m:ctrlPr>
                <w:rPr>
                  <w:rFonts w:ascii="Cambria Math" w:hAnsi="Calibri" w:cstheme="minorHAnsi"/>
                  <w:i/>
                </w:rPr>
              </m:ctrlPr>
            </m:fPr>
            <m:num>
              <m:sSub>
                <m:sSubPr>
                  <m:ctrlPr>
                    <w:rPr>
                      <w:rFonts w:ascii="Cambria Math" w:hAnsi="Calibri" w:cstheme="minorHAnsi"/>
                      <w:i/>
                    </w:rPr>
                  </m:ctrlPr>
                </m:sSubPr>
                <m:e>
                  <m:r>
                    <w:rPr>
                      <w:rFonts w:ascii="Cambria Math" w:hAnsi="Cambria Math" w:cstheme="minorHAnsi"/>
                    </w:rPr>
                    <m:t>n</m:t>
                  </m:r>
                </m:e>
                <m:sub>
                  <m:r>
                    <w:rPr>
                      <w:rFonts w:ascii="Cambria Math" w:hAnsi="Cambria Math" w:cstheme="minorHAnsi"/>
                    </w:rPr>
                    <m:t>i</m:t>
                  </m:r>
                  <m:r>
                    <w:rPr>
                      <w:rFonts w:ascii="Cambria Math" w:hAnsi="Calibri" w:cstheme="minorHAnsi"/>
                    </w:rPr>
                    <m:t>,</m:t>
                  </m:r>
                  <m:r>
                    <w:rPr>
                      <w:rFonts w:ascii="Cambria Math" w:hAnsi="Cambria Math" w:cstheme="minorHAnsi"/>
                    </w:rPr>
                    <m:t>j</m:t>
                  </m:r>
                  <m:r>
                    <w:rPr>
                      <w:rFonts w:ascii="Cambria Math" w:hAnsi="Calibri" w:cstheme="minorHAnsi"/>
                    </w:rPr>
                    <m:t>,</m:t>
                  </m:r>
                  <m:r>
                    <w:rPr>
                      <w:rFonts w:ascii="Cambria Math" w:hAnsi="Cambria Math" w:cstheme="minorHAnsi"/>
                    </w:rPr>
                    <m:t>k</m:t>
                  </m:r>
                </m:sub>
              </m:sSub>
            </m:num>
            <m:den>
              <m:sSub>
                <m:sSubPr>
                  <m:ctrlPr>
                    <w:rPr>
                      <w:rFonts w:ascii="Cambria Math" w:hAnsi="Calibri" w:cstheme="minorHAnsi"/>
                      <w:i/>
                    </w:rPr>
                  </m:ctrlPr>
                </m:sSubPr>
                <m:e>
                  <m:r>
                    <w:rPr>
                      <w:rFonts w:ascii="Cambria Math" w:hAnsi="Cambria Math" w:cstheme="minorHAnsi"/>
                    </w:rPr>
                    <m:t>p</m:t>
                  </m:r>
                </m:e>
                <m:sub>
                  <m:r>
                    <w:rPr>
                      <w:rFonts w:ascii="Cambria Math" w:hAnsi="Cambria Math" w:cstheme="minorHAnsi"/>
                    </w:rPr>
                    <m:t>i</m:t>
                  </m:r>
                  <m:r>
                    <w:rPr>
                      <w:rFonts w:ascii="Cambria Math" w:hAnsi="Calibri" w:cstheme="minorHAnsi"/>
                    </w:rPr>
                    <m:t>,</m:t>
                  </m:r>
                  <m:r>
                    <w:rPr>
                      <w:rFonts w:ascii="Cambria Math" w:hAnsi="Cambria Math" w:cstheme="minorHAnsi"/>
                    </w:rPr>
                    <m:t>j</m:t>
                  </m:r>
                </m:sub>
              </m:sSub>
            </m:den>
          </m:f>
        </m:oMath>
      </m:oMathPara>
    </w:p>
    <w:p w14:paraId="29871E44" w14:textId="65B0D3D3" w:rsidR="00DA030D" w:rsidRPr="00094632" w:rsidRDefault="005448D1" w:rsidP="00412DBB">
      <w:pPr>
        <w:spacing w:line="480" w:lineRule="auto"/>
      </w:pPr>
      <w:r w:rsidRPr="00D213ED">
        <w:t>Depending on the starting (</w:t>
      </w:r>
      <w:r w:rsidRPr="00D213ED">
        <w:rPr>
          <w:i/>
        </w:rPr>
        <w:t>j</w:t>
      </w:r>
      <w:r w:rsidRPr="00D213ED">
        <w:t>) and finishing (</w:t>
      </w:r>
      <w:r w:rsidRPr="00D213ED">
        <w:rPr>
          <w:i/>
        </w:rPr>
        <w:t>k</w:t>
      </w:r>
      <w:r w:rsidRPr="00D213ED">
        <w:t>) states</w:t>
      </w:r>
      <w:r w:rsidR="00B870E3" w:rsidRPr="00D213ED">
        <w:t xml:space="preserve"> at age </w:t>
      </w:r>
      <w:proofErr w:type="spellStart"/>
      <w:r w:rsidR="00B870E3" w:rsidRPr="00D213ED">
        <w:rPr>
          <w:i/>
        </w:rPr>
        <w:t>i</w:t>
      </w:r>
      <w:proofErr w:type="spellEnd"/>
      <w:r w:rsidRPr="00D213ED">
        <w:t>, m</w:t>
      </w:r>
      <w:r w:rsidR="00B310E4" w:rsidRPr="00D213ED">
        <w:t xml:space="preserve">ovement between </w:t>
      </w:r>
      <w:r w:rsidRPr="00D213ED">
        <w:t xml:space="preserve">health </w:t>
      </w:r>
      <w:r w:rsidR="00B310E4" w:rsidRPr="00D213ED">
        <w:t>states may represent either new cases of disease, recovery from disease, relapse to disease</w:t>
      </w:r>
      <w:r w:rsidR="008B7EFA" w:rsidRPr="00D213ED">
        <w:t>,</w:t>
      </w:r>
      <w:r w:rsidR="00B310E4" w:rsidRPr="00D213ED">
        <w:t xml:space="preserve"> or death. </w:t>
      </w:r>
      <w:r w:rsidR="00F13DAA" w:rsidRPr="00D213ED">
        <w:t>Movement between some</w:t>
      </w:r>
      <w:r w:rsidR="00576E26" w:rsidRPr="00D213ED">
        <w:t xml:space="preserve"> health</w:t>
      </w:r>
      <w:r w:rsidR="00F13DAA" w:rsidRPr="00D213ED">
        <w:t xml:space="preserve"> states </w:t>
      </w:r>
      <w:r w:rsidR="003D020B" w:rsidRPr="00D213ED">
        <w:t xml:space="preserve">is not </w:t>
      </w:r>
      <w:r w:rsidR="009D0264" w:rsidRPr="00D213ED">
        <w:t xml:space="preserve">permitted </w:t>
      </w:r>
      <w:r w:rsidR="003D020B" w:rsidRPr="00D213ED">
        <w:t>(</w:t>
      </w:r>
      <w:r w:rsidR="00811AC8" w:rsidRPr="00D213ED">
        <w:t xml:space="preserve">e.g. </w:t>
      </w:r>
      <w:r w:rsidR="003D020B" w:rsidRPr="00D213ED">
        <w:t>there is no movement from death to</w:t>
      </w:r>
      <w:r w:rsidR="003D020B" w:rsidRPr="00094632">
        <w:t xml:space="preserve"> </w:t>
      </w:r>
      <w:r w:rsidR="003D020B" w:rsidRPr="00D213ED">
        <w:t xml:space="preserve">any </w:t>
      </w:r>
      <w:r w:rsidR="005C65EF" w:rsidRPr="00D213ED">
        <w:t xml:space="preserve">of the </w:t>
      </w:r>
      <w:r w:rsidR="003D020B" w:rsidRPr="00D213ED">
        <w:t>other states</w:t>
      </w:r>
      <w:r w:rsidR="00F13DAA" w:rsidRPr="00D213ED">
        <w:t xml:space="preserve">). In such situations, </w:t>
      </w:r>
      <w:proofErr w:type="spellStart"/>
      <w:r w:rsidR="00F13DAA" w:rsidRPr="00D213ED">
        <w:rPr>
          <w:i/>
        </w:rPr>
        <w:t>n</w:t>
      </w:r>
      <w:r w:rsidR="00F13DAA" w:rsidRPr="00D213ED">
        <w:rPr>
          <w:i/>
          <w:vertAlign w:val="subscript"/>
        </w:rPr>
        <w:t>i</w:t>
      </w:r>
      <w:proofErr w:type="gramStart"/>
      <w:r w:rsidR="00F13DAA" w:rsidRPr="00D213ED">
        <w:rPr>
          <w:vertAlign w:val="subscript"/>
        </w:rPr>
        <w:t>,</w:t>
      </w:r>
      <w:r w:rsidR="00F13DAA" w:rsidRPr="00D213ED">
        <w:rPr>
          <w:i/>
          <w:vertAlign w:val="subscript"/>
        </w:rPr>
        <w:t>j</w:t>
      </w:r>
      <w:r w:rsidR="00F13DAA" w:rsidRPr="00D213ED">
        <w:rPr>
          <w:vertAlign w:val="subscript"/>
        </w:rPr>
        <w:t>,</w:t>
      </w:r>
      <w:r w:rsidR="00F13DAA" w:rsidRPr="00D213ED">
        <w:rPr>
          <w:i/>
          <w:vertAlign w:val="subscript"/>
        </w:rPr>
        <w:t>k</w:t>
      </w:r>
      <w:proofErr w:type="spellEnd"/>
      <w:proofErr w:type="gramEnd"/>
      <w:r w:rsidR="00F13DAA" w:rsidRPr="00D213ED">
        <w:t xml:space="preserve"> is equal to zero and, </w:t>
      </w:r>
      <w:r w:rsidR="00004321" w:rsidRPr="00D213ED">
        <w:t xml:space="preserve">hence, </w:t>
      </w:r>
      <w:proofErr w:type="spellStart"/>
      <w:r w:rsidR="00004321" w:rsidRPr="00D213ED">
        <w:rPr>
          <w:i/>
        </w:rPr>
        <w:t>h</w:t>
      </w:r>
      <w:r w:rsidR="00F13DAA" w:rsidRPr="00D213ED">
        <w:rPr>
          <w:i/>
          <w:vertAlign w:val="subscript"/>
        </w:rPr>
        <w:t>i</w:t>
      </w:r>
      <w:r w:rsidR="00F13DAA" w:rsidRPr="00D213ED">
        <w:rPr>
          <w:vertAlign w:val="subscript"/>
        </w:rPr>
        <w:t>,</w:t>
      </w:r>
      <w:r w:rsidR="00F13DAA" w:rsidRPr="00D213ED">
        <w:rPr>
          <w:i/>
          <w:vertAlign w:val="subscript"/>
        </w:rPr>
        <w:t>j</w:t>
      </w:r>
      <w:r w:rsidR="00F13DAA" w:rsidRPr="00D213ED">
        <w:rPr>
          <w:vertAlign w:val="subscript"/>
        </w:rPr>
        <w:t>,</w:t>
      </w:r>
      <w:r w:rsidR="00F13DAA" w:rsidRPr="00D213ED">
        <w:rPr>
          <w:i/>
          <w:vertAlign w:val="subscript"/>
        </w:rPr>
        <w:t>k</w:t>
      </w:r>
      <w:proofErr w:type="spellEnd"/>
      <w:r w:rsidR="00F13DAA" w:rsidRPr="00D213ED">
        <w:t xml:space="preserve"> becomes zero also. </w:t>
      </w:r>
      <w:r w:rsidR="009333D6" w:rsidRPr="00D213ED">
        <w:t xml:space="preserve">Assuming that deaths, new disease cases, </w:t>
      </w:r>
      <w:r w:rsidR="009A6DE8" w:rsidRPr="00D213ED">
        <w:t xml:space="preserve">disease </w:t>
      </w:r>
      <w:r w:rsidR="009333D6" w:rsidRPr="00D213ED">
        <w:t xml:space="preserve">recovery, and </w:t>
      </w:r>
      <w:r w:rsidR="009A6DE8" w:rsidRPr="00D213ED">
        <w:t xml:space="preserve">disease </w:t>
      </w:r>
      <w:r w:rsidR="009333D6" w:rsidRPr="00D213ED">
        <w:t xml:space="preserve">relapse all occur </w:t>
      </w:r>
      <w:r w:rsidR="00CC212A" w:rsidRPr="00D213ED">
        <w:t>at a constant rate</w:t>
      </w:r>
      <w:r w:rsidR="009333D6" w:rsidRPr="00D213ED">
        <w:t xml:space="preserve"> over a year of </w:t>
      </w:r>
      <w:r w:rsidR="009333D6" w:rsidRPr="00702209">
        <w:t>age</w:t>
      </w:r>
      <w:r w:rsidR="00702209">
        <w:t xml:space="preserve"> (a standard life table assumption, e.g. </w:t>
      </w:r>
      <w:r w:rsidR="005072BE">
        <w:t>Bradford Hill (19</w:t>
      </w:r>
      <w:r w:rsidR="00344C17">
        <w:t>7</w:t>
      </w:r>
      <w:r w:rsidR="005072BE">
        <w:t>7)</w:t>
      </w:r>
      <w:r w:rsidR="00702209">
        <w:t>)</w:t>
      </w:r>
      <w:r w:rsidR="009333D6" w:rsidRPr="00702209">
        <w:t>, t</w:t>
      </w:r>
      <w:r w:rsidR="00720840" w:rsidRPr="00702209">
        <w:t>he</w:t>
      </w:r>
      <w:r w:rsidR="00720840" w:rsidRPr="00D213ED">
        <w:t xml:space="preserve"> p</w:t>
      </w:r>
      <w:r w:rsidR="00995AC2" w:rsidRPr="00D213ED">
        <w:t xml:space="preserve">robability of </w:t>
      </w:r>
      <w:r w:rsidR="0020111B">
        <w:t>remaining in</w:t>
      </w:r>
      <w:r w:rsidR="00720840" w:rsidRPr="00D213ED">
        <w:t xml:space="preserve"> state </w:t>
      </w:r>
      <w:r w:rsidR="00811AC8" w:rsidRPr="00D213ED">
        <w:rPr>
          <w:i/>
        </w:rPr>
        <w:t>j</w:t>
      </w:r>
      <w:r w:rsidR="00811AC8" w:rsidRPr="00D213ED">
        <w:t xml:space="preserve"> </w:t>
      </w:r>
      <w:r w:rsidR="0020111B">
        <w:t xml:space="preserve">by not moving </w:t>
      </w:r>
      <w:r w:rsidR="00720840" w:rsidRPr="00D213ED">
        <w:t xml:space="preserve">to state </w:t>
      </w:r>
      <w:r w:rsidR="00811AC8" w:rsidRPr="00D213ED">
        <w:rPr>
          <w:i/>
        </w:rPr>
        <w:t>k</w:t>
      </w:r>
      <w:r w:rsidR="00811AC8" w:rsidRPr="00D213ED">
        <w:t xml:space="preserve"> </w:t>
      </w:r>
      <w:r w:rsidR="00995AC2" w:rsidRPr="00D213ED">
        <w:t xml:space="preserve">from age </w:t>
      </w:r>
      <w:proofErr w:type="spellStart"/>
      <w:r w:rsidR="00995AC2" w:rsidRPr="00D213ED">
        <w:rPr>
          <w:i/>
        </w:rPr>
        <w:t>i</w:t>
      </w:r>
      <w:proofErr w:type="spellEnd"/>
      <w:r w:rsidR="00995AC2" w:rsidRPr="00D213ED">
        <w:t xml:space="preserve"> to </w:t>
      </w:r>
      <w:r w:rsidR="00995AC2" w:rsidRPr="00D213ED">
        <w:rPr>
          <w:i/>
        </w:rPr>
        <w:t>i</w:t>
      </w:r>
      <w:r w:rsidR="00995AC2" w:rsidRPr="00D213ED">
        <w:t xml:space="preserve">+1 </w:t>
      </w:r>
      <w:r w:rsidR="001C5F2D" w:rsidRPr="00D213ED">
        <w:t>(</w:t>
      </w:r>
      <w:r w:rsidR="001C5F2D" w:rsidRPr="00D213ED">
        <w:rPr>
          <w:i/>
        </w:rPr>
        <w:t>s</w:t>
      </w:r>
      <w:r w:rsidR="001C5F2D" w:rsidRPr="00D213ED">
        <w:rPr>
          <w:i/>
          <w:vertAlign w:val="subscript"/>
        </w:rPr>
        <w:t>i+1,j,k</w:t>
      </w:r>
      <w:r w:rsidR="001C5F2D" w:rsidRPr="00D213ED">
        <w:t xml:space="preserve">) </w:t>
      </w:r>
      <w:r w:rsidR="00811AC8" w:rsidRPr="00D213ED">
        <w:t xml:space="preserve">can be </w:t>
      </w:r>
      <w:r w:rsidR="001F0AEA" w:rsidRPr="00D213ED">
        <w:t>shown to be</w:t>
      </w:r>
    </w:p>
    <w:p w14:paraId="3FA0CE00" w14:textId="77777777" w:rsidR="00720840" w:rsidRPr="00094632" w:rsidRDefault="00EC1434" w:rsidP="00412DBB">
      <w:pPr>
        <w:spacing w:line="480" w:lineRule="auto"/>
      </w:pPr>
      <m:oMathPara>
        <m:oMathParaPr>
          <m:jc m:val="center"/>
        </m:oMathParaPr>
        <m:oMath>
          <m:sSub>
            <m:sSubPr>
              <m:ctrlPr>
                <w:rPr>
                  <w:rFonts w:ascii="Cambria Math" w:hAnsi="Cambria Math"/>
                  <w:i/>
                </w:rPr>
              </m:ctrlPr>
            </m:sSubPr>
            <m:e>
              <m:r>
                <w:rPr>
                  <w:rFonts w:ascii="Cambria Math" w:hAnsi="Cambria Math"/>
                </w:rPr>
                <m:t>s</m:t>
              </m:r>
            </m:e>
            <m:sub>
              <m:r>
                <w:rPr>
                  <w:rFonts w:ascii="Cambria Math" w:hAnsi="Cambria Math"/>
                </w:rPr>
                <m:t>i+1,j,k</m:t>
              </m:r>
            </m:sub>
          </m:sSub>
          <m:r>
            <w:rPr>
              <w:rFonts w:ascii="Cambria Math" w:hAnsi="Cambria Math"/>
            </w:rPr>
            <m:t>=</m:t>
          </m:r>
          <m:f>
            <m:fPr>
              <m:type m:val="lin"/>
              <m:ctrlPr>
                <w:rPr>
                  <w:rFonts w:ascii="Cambria Math" w:hAnsi="Cambria Math"/>
                  <w:i/>
                </w:rPr>
              </m:ctrlPr>
            </m:fPr>
            <m:num>
              <m:d>
                <m:dPr>
                  <m:ctrlPr>
                    <w:rPr>
                      <w:rFonts w:ascii="Cambria Math" w:hAnsi="Cambria Math"/>
                      <w:i/>
                    </w:rPr>
                  </m:ctrlPr>
                </m:dPr>
                <m:e>
                  <m:r>
                    <w:rPr>
                      <w:rFonts w:ascii="Cambria Math" w:hAnsi="Cambria Math"/>
                    </w:rPr>
                    <m:t>2-</m:t>
                  </m:r>
                  <m:sSub>
                    <m:sSubPr>
                      <m:ctrlPr>
                        <w:rPr>
                          <w:rFonts w:ascii="Cambria Math" w:hAnsi="Cambria Math"/>
                          <w:i/>
                        </w:rPr>
                      </m:ctrlPr>
                    </m:sSubPr>
                    <m:e>
                      <m:r>
                        <w:rPr>
                          <w:rFonts w:ascii="Cambria Math" w:hAnsi="Cambria Math"/>
                        </w:rPr>
                        <m:t>h</m:t>
                      </m:r>
                    </m:e>
                    <m:sub>
                      <m:r>
                        <w:rPr>
                          <w:rFonts w:ascii="Cambria Math" w:hAnsi="Cambria Math"/>
                        </w:rPr>
                        <m:t>i,j,k</m:t>
                      </m:r>
                    </m:sub>
                  </m:sSub>
                </m:e>
              </m:d>
            </m:num>
            <m:den>
              <m:d>
                <m:dPr>
                  <m:ctrlPr>
                    <w:rPr>
                      <w:rFonts w:ascii="Cambria Math" w:hAnsi="Cambria Math"/>
                      <w:i/>
                    </w:rPr>
                  </m:ctrlPr>
                </m:dPr>
                <m:e>
                  <m:r>
                    <w:rPr>
                      <w:rFonts w:ascii="Cambria Math" w:hAnsi="Cambria Math"/>
                    </w:rPr>
                    <m:t>2+</m:t>
                  </m:r>
                  <m:sSub>
                    <m:sSubPr>
                      <m:ctrlPr>
                        <w:rPr>
                          <w:rFonts w:ascii="Cambria Math" w:hAnsi="Cambria Math"/>
                          <w:i/>
                        </w:rPr>
                      </m:ctrlPr>
                    </m:sSubPr>
                    <m:e>
                      <m:r>
                        <w:rPr>
                          <w:rFonts w:ascii="Cambria Math" w:hAnsi="Cambria Math"/>
                        </w:rPr>
                        <m:t>h</m:t>
                      </m:r>
                    </m:e>
                    <m:sub>
                      <m:r>
                        <w:rPr>
                          <w:rFonts w:ascii="Cambria Math" w:hAnsi="Cambria Math"/>
                        </w:rPr>
                        <m:t>i,j,k</m:t>
                      </m:r>
                    </m:sub>
                  </m:sSub>
                </m:e>
              </m:d>
            </m:den>
          </m:f>
        </m:oMath>
      </m:oMathPara>
    </w:p>
    <w:p w14:paraId="170BB1CA" w14:textId="77777777" w:rsidR="00AA4B13" w:rsidRPr="00D213ED" w:rsidRDefault="005E3FEE" w:rsidP="00412DBB">
      <w:pPr>
        <w:spacing w:line="480" w:lineRule="auto"/>
      </w:pPr>
      <w:r w:rsidRPr="00D213ED">
        <w:t>For example, i</w:t>
      </w:r>
      <w:r w:rsidR="009333D6" w:rsidRPr="00D213ED">
        <w:t xml:space="preserve">n the case of movement between a given health state </w:t>
      </w:r>
      <w:r w:rsidR="00811AC8" w:rsidRPr="00D213ED">
        <w:rPr>
          <w:i/>
        </w:rPr>
        <w:t>j</w:t>
      </w:r>
      <w:r w:rsidR="00811AC8" w:rsidRPr="00D213ED">
        <w:t xml:space="preserve"> </w:t>
      </w:r>
      <w:r w:rsidR="009333D6" w:rsidRPr="00D213ED">
        <w:t xml:space="preserve">and </w:t>
      </w:r>
      <w:r w:rsidR="00811AC8" w:rsidRPr="00D213ED">
        <w:t xml:space="preserve">the </w:t>
      </w:r>
      <w:r w:rsidR="009333D6" w:rsidRPr="00D213ED">
        <w:t>death</w:t>
      </w:r>
      <w:r w:rsidR="00811AC8" w:rsidRPr="00D213ED">
        <w:t xml:space="preserve"> state</w:t>
      </w:r>
      <w:r w:rsidR="00582F4A" w:rsidRPr="00D213ED">
        <w:t xml:space="preserve"> </w:t>
      </w:r>
      <w:r w:rsidR="00582F4A" w:rsidRPr="00D213ED">
        <w:rPr>
          <w:i/>
        </w:rPr>
        <w:t>d</w:t>
      </w:r>
      <w:r w:rsidR="009333D6" w:rsidRPr="00D213ED">
        <w:t xml:space="preserve">, </w:t>
      </w:r>
      <w:r w:rsidR="009333D6" w:rsidRPr="00D213ED">
        <w:rPr>
          <w:i/>
        </w:rPr>
        <w:t>s</w:t>
      </w:r>
      <w:r w:rsidR="005A786E" w:rsidRPr="00D213ED">
        <w:rPr>
          <w:i/>
          <w:vertAlign w:val="subscript"/>
        </w:rPr>
        <w:t>i</w:t>
      </w:r>
      <w:r w:rsidR="005A786E" w:rsidRPr="00D213ED">
        <w:rPr>
          <w:vertAlign w:val="subscript"/>
        </w:rPr>
        <w:t>+1</w:t>
      </w:r>
      <w:proofErr w:type="gramStart"/>
      <w:r w:rsidR="005A786E" w:rsidRPr="00D213ED">
        <w:rPr>
          <w:vertAlign w:val="subscript"/>
        </w:rPr>
        <w:t>,</w:t>
      </w:r>
      <w:r w:rsidR="005A786E" w:rsidRPr="00D213ED">
        <w:rPr>
          <w:i/>
          <w:vertAlign w:val="subscript"/>
        </w:rPr>
        <w:t>j</w:t>
      </w:r>
      <w:r w:rsidR="005A786E" w:rsidRPr="00D213ED">
        <w:rPr>
          <w:vertAlign w:val="subscript"/>
        </w:rPr>
        <w:t>,</w:t>
      </w:r>
      <w:r w:rsidR="00582F4A" w:rsidRPr="00D213ED">
        <w:rPr>
          <w:i/>
          <w:vertAlign w:val="subscript"/>
        </w:rPr>
        <w:t>d</w:t>
      </w:r>
      <w:proofErr w:type="gramEnd"/>
      <w:r w:rsidR="009333D6" w:rsidRPr="00D213ED">
        <w:t xml:space="preserve"> represents the </w:t>
      </w:r>
      <w:r w:rsidR="00DE50ED" w:rsidRPr="00D213ED">
        <w:t>probability of not dying (</w:t>
      </w:r>
      <w:r w:rsidR="001C5F2D" w:rsidRPr="00D213ED">
        <w:t xml:space="preserve">i.e. </w:t>
      </w:r>
      <w:r w:rsidR="0007296C" w:rsidRPr="00D213ED">
        <w:t xml:space="preserve">the </w:t>
      </w:r>
      <w:r w:rsidR="009333D6" w:rsidRPr="00D213ED">
        <w:t>survival probability</w:t>
      </w:r>
      <w:r w:rsidR="00DE50ED" w:rsidRPr="00D213ED">
        <w:t>)</w:t>
      </w:r>
      <w:r w:rsidR="009333D6" w:rsidRPr="00D213ED">
        <w:t xml:space="preserve"> in that state from age </w:t>
      </w:r>
      <w:proofErr w:type="spellStart"/>
      <w:r w:rsidR="009333D6" w:rsidRPr="00D213ED">
        <w:rPr>
          <w:i/>
        </w:rPr>
        <w:t>i</w:t>
      </w:r>
      <w:proofErr w:type="spellEnd"/>
      <w:r w:rsidR="009333D6" w:rsidRPr="00D213ED">
        <w:t xml:space="preserve"> to </w:t>
      </w:r>
      <w:r w:rsidR="009333D6" w:rsidRPr="00D213ED">
        <w:rPr>
          <w:i/>
        </w:rPr>
        <w:t>i</w:t>
      </w:r>
      <w:r w:rsidR="00F371F4" w:rsidRPr="00D213ED">
        <w:t xml:space="preserve">+1, </w:t>
      </w:r>
      <w:r w:rsidR="005A786E" w:rsidRPr="00D213ED">
        <w:t>conditional on surviving</w:t>
      </w:r>
      <w:r w:rsidR="009333D6" w:rsidRPr="00D213ED">
        <w:t xml:space="preserve"> to age </w:t>
      </w:r>
      <w:proofErr w:type="spellStart"/>
      <w:r w:rsidR="009333D6" w:rsidRPr="00D213ED">
        <w:rPr>
          <w:i/>
        </w:rPr>
        <w:t>i</w:t>
      </w:r>
      <w:proofErr w:type="spellEnd"/>
      <w:r w:rsidR="009333D6" w:rsidRPr="00D213ED">
        <w:t>.</w:t>
      </w:r>
      <w:r w:rsidR="009F1BEF" w:rsidRPr="00D213ED">
        <w:t xml:space="preserve"> It is then possible to calculate probabilities</w:t>
      </w:r>
      <w:r w:rsidR="00995AC2" w:rsidRPr="00D213ED">
        <w:t xml:space="preserve"> of </w:t>
      </w:r>
      <w:r w:rsidR="009F1BEF" w:rsidRPr="00D213ED">
        <w:t xml:space="preserve">individuals </w:t>
      </w:r>
      <w:r w:rsidR="00995AC2" w:rsidRPr="00D213ED">
        <w:t>not moving to anothe</w:t>
      </w:r>
      <w:r w:rsidR="009F1BEF" w:rsidRPr="00D213ED">
        <w:t xml:space="preserve">r state from birth to age </w:t>
      </w:r>
      <w:r w:rsidR="009F1BEF" w:rsidRPr="00D213ED">
        <w:rPr>
          <w:i/>
        </w:rPr>
        <w:t>i</w:t>
      </w:r>
      <w:r w:rsidR="009F1BEF" w:rsidRPr="00D213ED">
        <w:t xml:space="preserve">+1 </w:t>
      </w:r>
      <w:r w:rsidR="004B24E1" w:rsidRPr="00D213ED">
        <w:t>using</w:t>
      </w:r>
      <w:r w:rsidR="004C7549" w:rsidRPr="00D213ED">
        <w:t xml:space="preserve"> </w:t>
      </w:r>
      <w:r w:rsidR="009F1BEF" w:rsidRPr="00D213ED">
        <w:t xml:space="preserve">the cumulative </w:t>
      </w:r>
      <w:r w:rsidR="009B4115" w:rsidRPr="00D213ED">
        <w:t xml:space="preserve">probability </w:t>
      </w:r>
      <w:r w:rsidR="009F1BEF" w:rsidRPr="00D213ED">
        <w:t xml:space="preserve">of </w:t>
      </w:r>
      <w:r w:rsidR="00EA434D" w:rsidRPr="00D213ED">
        <w:t xml:space="preserve">survival </w:t>
      </w:r>
      <w:r w:rsidR="00811AC8" w:rsidRPr="00D213ED">
        <w:t>in that state</w:t>
      </w:r>
      <w:r w:rsidR="00EA434D" w:rsidRPr="00D213ED">
        <w:t xml:space="preserve"> </w:t>
      </w:r>
      <w:r w:rsidR="009F1BEF" w:rsidRPr="00D213ED">
        <w:t xml:space="preserve">from </w:t>
      </w:r>
      <w:r w:rsidR="00EA434D" w:rsidRPr="00D213ED">
        <w:t xml:space="preserve">age </w:t>
      </w:r>
      <w:r w:rsidR="009F1BEF" w:rsidRPr="00D213ED">
        <w:t xml:space="preserve">0 to </w:t>
      </w:r>
      <w:r w:rsidR="009F1BEF" w:rsidRPr="00D213ED">
        <w:rPr>
          <w:i/>
        </w:rPr>
        <w:t>i</w:t>
      </w:r>
      <w:r w:rsidR="009F1BEF" w:rsidRPr="00D213ED">
        <w:t xml:space="preserve">+1, the </w:t>
      </w:r>
      <w:r w:rsidR="006E223E" w:rsidRPr="00D213ED">
        <w:t>probability</w:t>
      </w:r>
      <w:r w:rsidR="009F1BEF" w:rsidRPr="00D213ED">
        <w:t xml:space="preserve"> of </w:t>
      </w:r>
      <w:r w:rsidR="00995AC2" w:rsidRPr="00D213ED">
        <w:t xml:space="preserve">remaining in </w:t>
      </w:r>
      <w:r w:rsidR="009F1BEF" w:rsidRPr="00D213ED">
        <w:t xml:space="preserve">a </w:t>
      </w:r>
      <w:r w:rsidR="00995AC2" w:rsidRPr="00D213ED">
        <w:t xml:space="preserve">given state </w:t>
      </w:r>
      <w:r w:rsidR="009F1BEF" w:rsidRPr="00D213ED">
        <w:t>(</w:t>
      </w:r>
      <w:r w:rsidR="00995AC2" w:rsidRPr="00D213ED">
        <w:t xml:space="preserve">from </w:t>
      </w:r>
      <w:r w:rsidR="009F1BEF" w:rsidRPr="00D213ED">
        <w:t xml:space="preserve">birth to </w:t>
      </w:r>
      <w:r w:rsidR="007F379C" w:rsidRPr="00D213ED">
        <w:t xml:space="preserve">age </w:t>
      </w:r>
      <w:r w:rsidR="009F1BEF" w:rsidRPr="00D213ED">
        <w:rPr>
          <w:i/>
        </w:rPr>
        <w:t>i</w:t>
      </w:r>
      <w:r w:rsidR="009F1BEF" w:rsidRPr="00D213ED">
        <w:t xml:space="preserve">+1) and the </w:t>
      </w:r>
      <w:r w:rsidR="006E223E" w:rsidRPr="00D213ED">
        <w:t>probability of</w:t>
      </w:r>
      <w:r w:rsidR="00995AC2" w:rsidRPr="00D213ED">
        <w:t xml:space="preserve"> </w:t>
      </w:r>
      <w:r w:rsidR="009F1BEF" w:rsidRPr="00D213ED">
        <w:t>moving to</w:t>
      </w:r>
      <w:r w:rsidR="00995AC2" w:rsidRPr="00D213ED">
        <w:t xml:space="preserve"> </w:t>
      </w:r>
      <w:r w:rsidR="009F1BEF" w:rsidRPr="00D213ED">
        <w:t xml:space="preserve">each </w:t>
      </w:r>
      <w:r w:rsidR="00995AC2" w:rsidRPr="00D213ED">
        <w:t xml:space="preserve">state </w:t>
      </w:r>
      <w:r w:rsidR="009F1BEF" w:rsidRPr="00D213ED">
        <w:t>(again, from birth to</w:t>
      </w:r>
      <w:r w:rsidR="00B870E3" w:rsidRPr="00D213ED">
        <w:t xml:space="preserve"> </w:t>
      </w:r>
      <w:r w:rsidR="009F1BEF" w:rsidRPr="00D213ED">
        <w:rPr>
          <w:i/>
        </w:rPr>
        <w:t>i</w:t>
      </w:r>
      <w:r w:rsidR="009F1BEF" w:rsidRPr="00D213ED">
        <w:t>+1).</w:t>
      </w:r>
      <w:r w:rsidR="001568B4" w:rsidRPr="00D213ED">
        <w:t xml:space="preserve"> </w:t>
      </w:r>
      <w:r w:rsidR="00C9148F" w:rsidRPr="00D213ED">
        <w:t xml:space="preserve">It is then straightforward to estimate the expected number of deaths and new disease cases in the population at a particular year of age. </w:t>
      </w:r>
      <w:r w:rsidR="001568B4" w:rsidRPr="00D213ED">
        <w:t>The</w:t>
      </w:r>
      <w:r w:rsidR="00920E27" w:rsidRPr="00D213ED">
        <w:t xml:space="preserve"> proportions </w:t>
      </w:r>
      <w:r w:rsidR="006E223E" w:rsidRPr="00D213ED">
        <w:t xml:space="preserve">of the cohort in each </w:t>
      </w:r>
      <w:r w:rsidR="001568B4" w:rsidRPr="00D213ED">
        <w:t xml:space="preserve">health </w:t>
      </w:r>
      <w:r w:rsidR="006E223E" w:rsidRPr="00D213ED">
        <w:t xml:space="preserve">state </w:t>
      </w:r>
      <w:r w:rsidR="001568B4" w:rsidRPr="00D213ED">
        <w:t xml:space="preserve">at the end of a given year of age </w:t>
      </w:r>
      <w:r w:rsidR="00920E27" w:rsidRPr="00D213ED">
        <w:t>are found by multiplying together the appropriate probabilities described above</w:t>
      </w:r>
      <w:r w:rsidR="006E223E" w:rsidRPr="00D213ED">
        <w:t xml:space="preserve"> </w:t>
      </w:r>
      <w:r w:rsidR="001568B4" w:rsidRPr="00D213ED">
        <w:t>(e.g</w:t>
      </w:r>
      <w:r w:rsidR="00C153ED" w:rsidRPr="00D213ED">
        <w:t>.</w:t>
      </w:r>
      <w:r w:rsidR="00920E27" w:rsidRPr="00D213ED">
        <w:t xml:space="preserve"> remaining in good health</w:t>
      </w:r>
      <w:r w:rsidR="00920E27" w:rsidRPr="00094632">
        <w:t xml:space="preserve"> </w:t>
      </w:r>
      <w:r w:rsidR="00920E27" w:rsidRPr="00094632">
        <w:lastRenderedPageBreak/>
        <w:t xml:space="preserve">requires </w:t>
      </w:r>
      <w:r w:rsidR="00920E27" w:rsidRPr="00094632">
        <w:rPr>
          <w:u w:val="single"/>
        </w:rPr>
        <w:t>not</w:t>
      </w:r>
      <w:r w:rsidR="00920E27" w:rsidRPr="00094632">
        <w:t xml:space="preserve"> moving to any disease state </w:t>
      </w:r>
      <w:r w:rsidR="001C0DCD" w:rsidRPr="00094632">
        <w:rPr>
          <w:u w:val="single"/>
        </w:rPr>
        <w:t xml:space="preserve">and </w:t>
      </w:r>
      <w:r w:rsidR="00920E27" w:rsidRPr="00094632">
        <w:rPr>
          <w:u w:val="single"/>
        </w:rPr>
        <w:t>not</w:t>
      </w:r>
      <w:r w:rsidR="00920E27" w:rsidRPr="00094632">
        <w:t xml:space="preserve"> dying</w:t>
      </w:r>
      <w:r w:rsidR="001568B4" w:rsidRPr="00094632">
        <w:t xml:space="preserve">) </w:t>
      </w:r>
      <w:r w:rsidR="001568B4" w:rsidRPr="00D213ED">
        <w:t>and then summing the movements into and out of each state</w:t>
      </w:r>
      <w:r w:rsidR="00920E27" w:rsidRPr="00D213ED">
        <w:t>.</w:t>
      </w:r>
      <w:r w:rsidR="00FF7F6F" w:rsidRPr="00D213ED">
        <w:t xml:space="preserve"> </w:t>
      </w:r>
      <w:r w:rsidR="00902247">
        <w:t>T</w:t>
      </w:r>
      <w:r w:rsidR="00902247" w:rsidRPr="00F46729">
        <w:t>he population in each health state is the result of survival and movement between states in the previous year.</w:t>
      </w:r>
      <w:r w:rsidR="00902247">
        <w:t xml:space="preserve"> </w:t>
      </w:r>
      <w:r w:rsidR="00122EE5" w:rsidRPr="00D213ED">
        <w:t xml:space="preserve">The </w:t>
      </w:r>
      <w:r w:rsidR="00902247">
        <w:t>populations</w:t>
      </w:r>
      <w:r w:rsidR="00122EE5" w:rsidRPr="00D213ED">
        <w:t xml:space="preserve"> </w:t>
      </w:r>
      <w:r w:rsidR="00C9148F" w:rsidRPr="00D213ED">
        <w:t>in each state</w:t>
      </w:r>
      <w:r w:rsidR="00122EE5" w:rsidRPr="00D213ED">
        <w:t xml:space="preserve"> are </w:t>
      </w:r>
      <w:r w:rsidR="00902247">
        <w:t xml:space="preserve">then </w:t>
      </w:r>
      <w:r w:rsidR="00122EE5" w:rsidRPr="00D213ED">
        <w:t xml:space="preserve">used to </w:t>
      </w:r>
      <w:r w:rsidR="00582F4A" w:rsidRPr="00D213ED">
        <w:t xml:space="preserve">determine </w:t>
      </w:r>
      <w:r w:rsidR="00122EE5" w:rsidRPr="00D213ED">
        <w:t>the f</w:t>
      </w:r>
      <w:r w:rsidR="00995AC2" w:rsidRPr="00D213ED">
        <w:t xml:space="preserve">raction of a life year </w:t>
      </w:r>
      <w:r w:rsidR="002772A0" w:rsidRPr="00D213ED">
        <w:t xml:space="preserve">(LY) </w:t>
      </w:r>
      <w:r w:rsidR="00995AC2" w:rsidRPr="00D213ED">
        <w:t xml:space="preserve">lived </w:t>
      </w:r>
      <w:r w:rsidR="00122EE5" w:rsidRPr="00D213ED">
        <w:t>by these different groups</w:t>
      </w:r>
      <w:r w:rsidR="00C9148F" w:rsidRPr="00D213ED">
        <w:t xml:space="preserve">, which </w:t>
      </w:r>
      <w:r w:rsidR="00251A71" w:rsidRPr="00D213ED">
        <w:t>may be weighted in relation to the reduced quality-of-life experienced</w:t>
      </w:r>
      <w:r w:rsidR="00CE5D0C" w:rsidRPr="00D213ED">
        <w:t xml:space="preserve"> by individuals</w:t>
      </w:r>
      <w:r w:rsidR="00251A71" w:rsidRPr="00D213ED">
        <w:t xml:space="preserve">. </w:t>
      </w:r>
      <w:r w:rsidR="005448D1" w:rsidRPr="00D213ED">
        <w:t xml:space="preserve">Finally, </w:t>
      </w:r>
      <w:r w:rsidR="00844F9B" w:rsidRPr="00D213ED">
        <w:t xml:space="preserve">combining the resulting fractions of </w:t>
      </w:r>
      <w:r w:rsidR="00EA697E" w:rsidRPr="00D213ED">
        <w:t>life years</w:t>
      </w:r>
      <w:r w:rsidR="00B870E3" w:rsidRPr="00D213ED">
        <w:t xml:space="preserve"> </w:t>
      </w:r>
      <w:r w:rsidR="00844F9B" w:rsidRPr="00D213ED">
        <w:t>lived in the various health states leads to a quality-adjusted total number of life years</w:t>
      </w:r>
      <w:r w:rsidR="002772A0" w:rsidRPr="00D213ED">
        <w:t xml:space="preserve"> (QALY)</w:t>
      </w:r>
      <w:r w:rsidR="00F70C74" w:rsidRPr="00D213ED">
        <w:t>, f</w:t>
      </w:r>
      <w:r w:rsidR="00844F9B" w:rsidRPr="00D213ED">
        <w:t xml:space="preserve">rom </w:t>
      </w:r>
      <w:r w:rsidR="00F70C74" w:rsidRPr="00D213ED">
        <w:t xml:space="preserve">which </w:t>
      </w:r>
      <w:r w:rsidR="00F16FAF" w:rsidRPr="00D213ED">
        <w:t xml:space="preserve">the </w:t>
      </w:r>
      <w:r w:rsidR="00844F9B" w:rsidRPr="00D213ED">
        <w:t>quality-adjusted life expectancy</w:t>
      </w:r>
      <w:r w:rsidR="000B0141" w:rsidRPr="00D213ED">
        <w:t xml:space="preserve"> </w:t>
      </w:r>
      <w:r w:rsidR="002772A0" w:rsidRPr="00D213ED">
        <w:t xml:space="preserve">(QALE) </w:t>
      </w:r>
      <w:r w:rsidR="000B0141" w:rsidRPr="00D213ED">
        <w:t>remaining at each age</w:t>
      </w:r>
      <w:r w:rsidR="00F70C74" w:rsidRPr="00D213ED">
        <w:t xml:space="preserve"> is calculated</w:t>
      </w:r>
      <w:r w:rsidR="00844F9B" w:rsidRPr="00D213ED">
        <w:t>.</w:t>
      </w:r>
      <w:r w:rsidR="00D97A82" w:rsidRPr="00D213ED">
        <w:t xml:space="preserve"> More detailed mod</w:t>
      </w:r>
      <w:r w:rsidR="002A3B87">
        <w:t>el equations can be found in a Web A</w:t>
      </w:r>
      <w:r w:rsidR="00D97A82" w:rsidRPr="00D213ED">
        <w:t>ppendix to this paper.</w:t>
      </w:r>
    </w:p>
    <w:p w14:paraId="36B0596A" w14:textId="77777777" w:rsidR="00006E49" w:rsidRDefault="00006E49" w:rsidP="00412DBB">
      <w:pPr>
        <w:spacing w:line="480" w:lineRule="auto"/>
      </w:pPr>
    </w:p>
    <w:p w14:paraId="266318D7" w14:textId="77777777" w:rsidR="00006E49" w:rsidRPr="00710182" w:rsidRDefault="00006E49" w:rsidP="00553513">
      <w:pPr>
        <w:spacing w:line="480" w:lineRule="auto"/>
        <w:ind w:left="720"/>
        <w:rPr>
          <w:b/>
          <w:sz w:val="24"/>
          <w:szCs w:val="24"/>
        </w:rPr>
      </w:pPr>
      <w:r w:rsidRPr="00710182">
        <w:rPr>
          <w:b/>
          <w:sz w:val="24"/>
          <w:szCs w:val="24"/>
        </w:rPr>
        <w:t>2.</w:t>
      </w:r>
      <w:r w:rsidR="00D83196" w:rsidRPr="00710182">
        <w:rPr>
          <w:b/>
          <w:sz w:val="24"/>
          <w:szCs w:val="24"/>
        </w:rPr>
        <w:t>2</w:t>
      </w:r>
      <w:r w:rsidRPr="00710182">
        <w:rPr>
          <w:b/>
          <w:sz w:val="24"/>
          <w:szCs w:val="24"/>
        </w:rPr>
        <w:t xml:space="preserve"> Model testing</w:t>
      </w:r>
    </w:p>
    <w:p w14:paraId="42BCC812" w14:textId="77777777" w:rsidR="00F46729" w:rsidRDefault="00006E49" w:rsidP="00412DBB">
      <w:pPr>
        <w:spacing w:after="360" w:line="480" w:lineRule="auto"/>
      </w:pPr>
      <w:r w:rsidRPr="00094632">
        <w:t xml:space="preserve">The output from the multi-morbid </w:t>
      </w:r>
      <w:r w:rsidRPr="00E651EA">
        <w:t>state model should theoretically match that of</w:t>
      </w:r>
      <w:r w:rsidRPr="00094632">
        <w:t xml:space="preserve"> </w:t>
      </w:r>
      <w:r w:rsidR="00162814">
        <w:t>a</w:t>
      </w:r>
      <w:r w:rsidRPr="00094632">
        <w:t xml:space="preserve"> standard (mortality only) life table model if (</w:t>
      </w:r>
      <w:r w:rsidR="00295500">
        <w:t>1</w:t>
      </w:r>
      <w:r w:rsidRPr="00094632">
        <w:t>) the all-cause mortality rates used in the two models are the same, (</w:t>
      </w:r>
      <w:r w:rsidR="00295500">
        <w:t>2</w:t>
      </w:r>
      <w:r w:rsidRPr="00094632">
        <w:t>) the disease-specific mortality rates in all disease states are the same as the all-cause rates (i.e. diseases do not increase or decrease the risk of mortality) and (</w:t>
      </w:r>
      <w:r w:rsidR="00295500">
        <w:t>3</w:t>
      </w:r>
      <w:r w:rsidRPr="00094632">
        <w:t xml:space="preserve">) all quality-of-life weights are set to one (i.e. no reduction in quality-of-life due to disease). This is true irrespective of the number of disease states modelled and the disease incidence/prevalence rates. As a boundary test, </w:t>
      </w:r>
      <w:r>
        <w:t>therefore, the results of the steady-state multi</w:t>
      </w:r>
      <w:r w:rsidRPr="00094632">
        <w:t xml:space="preserve">state model with recovery </w:t>
      </w:r>
      <w:r>
        <w:t xml:space="preserve">were compared </w:t>
      </w:r>
      <w:r w:rsidRPr="00094632">
        <w:t xml:space="preserve">against the widely-used IOMLIFET standard life table </w:t>
      </w:r>
      <w:r w:rsidRPr="002B3724">
        <w:t>model</w:t>
      </w:r>
      <w:r>
        <w:t xml:space="preserve"> (Miller and Hurley, 2003)</w:t>
      </w:r>
      <w:r w:rsidRPr="002B3724">
        <w:t xml:space="preserve"> for</w:t>
      </w:r>
      <w:r w:rsidRPr="00094632">
        <w:t xml:space="preserve"> up to three disease states and reproduced exactly the life year and life expectancy outputs of the standard model (R</w:t>
      </w:r>
      <w:r w:rsidRPr="00094632">
        <w:rPr>
          <w:vertAlign w:val="superscript"/>
        </w:rPr>
        <w:t>2</w:t>
      </w:r>
      <w:r w:rsidRPr="00094632">
        <w:t xml:space="preserve"> = 1).</w:t>
      </w:r>
    </w:p>
    <w:p w14:paraId="5F543DD1" w14:textId="77777777" w:rsidR="00E463C5" w:rsidRDefault="00E463C5" w:rsidP="00412DBB">
      <w:pPr>
        <w:spacing w:after="360" w:line="480" w:lineRule="auto"/>
      </w:pPr>
    </w:p>
    <w:p w14:paraId="3DD46E9E" w14:textId="77777777" w:rsidR="00A905F3" w:rsidRPr="00710182" w:rsidRDefault="00A905F3" w:rsidP="00553513">
      <w:pPr>
        <w:spacing w:line="480" w:lineRule="auto"/>
        <w:ind w:left="720"/>
        <w:rPr>
          <w:b/>
          <w:sz w:val="24"/>
          <w:szCs w:val="24"/>
        </w:rPr>
      </w:pPr>
      <w:r w:rsidRPr="00710182">
        <w:rPr>
          <w:b/>
          <w:sz w:val="24"/>
          <w:szCs w:val="24"/>
        </w:rPr>
        <w:t>2.</w:t>
      </w:r>
      <w:r w:rsidR="00D83196" w:rsidRPr="00710182">
        <w:rPr>
          <w:b/>
          <w:sz w:val="24"/>
          <w:szCs w:val="24"/>
        </w:rPr>
        <w:t>3</w:t>
      </w:r>
      <w:r w:rsidRPr="00710182">
        <w:rPr>
          <w:b/>
          <w:sz w:val="24"/>
          <w:szCs w:val="24"/>
        </w:rPr>
        <w:t xml:space="preserve"> </w:t>
      </w:r>
      <w:r w:rsidR="00DA2154">
        <w:rPr>
          <w:b/>
          <w:sz w:val="24"/>
          <w:szCs w:val="24"/>
        </w:rPr>
        <w:t>Model</w:t>
      </w:r>
      <w:r w:rsidR="00006E49" w:rsidRPr="00710182">
        <w:rPr>
          <w:b/>
          <w:sz w:val="24"/>
          <w:szCs w:val="24"/>
        </w:rPr>
        <w:t xml:space="preserve"> </w:t>
      </w:r>
      <w:r w:rsidR="00DA2154">
        <w:rPr>
          <w:b/>
          <w:sz w:val="24"/>
          <w:szCs w:val="24"/>
        </w:rPr>
        <w:t>parameterisation</w:t>
      </w:r>
    </w:p>
    <w:p w14:paraId="19A46843" w14:textId="45CE248F" w:rsidR="00143219" w:rsidRDefault="00DA2154" w:rsidP="00412DBB">
      <w:pPr>
        <w:spacing w:after="120" w:line="480" w:lineRule="auto"/>
      </w:pPr>
      <w:r>
        <w:lastRenderedPageBreak/>
        <w:t xml:space="preserve">The multistate life table </w:t>
      </w:r>
      <w:r w:rsidR="00A905F3" w:rsidRPr="00094632">
        <w:t xml:space="preserve">was </w:t>
      </w:r>
      <w:r w:rsidR="00D7649B">
        <w:t xml:space="preserve">used to assess the benefits </w:t>
      </w:r>
      <w:r w:rsidR="000D78EA">
        <w:t xml:space="preserve">for </w:t>
      </w:r>
      <w:r w:rsidR="000D78EA" w:rsidRPr="000D78EA">
        <w:t xml:space="preserve">all-cause mortality, </w:t>
      </w:r>
      <w:r w:rsidR="0087472C">
        <w:t>coronary heart disease (</w:t>
      </w:r>
      <w:r w:rsidR="000D78EA">
        <w:t>CHD</w:t>
      </w:r>
      <w:r w:rsidR="0087472C">
        <w:t>)</w:t>
      </w:r>
      <w:r w:rsidR="000D78EA" w:rsidRPr="000D78EA">
        <w:t>, lung cancer, and asthma</w:t>
      </w:r>
      <w:r w:rsidR="00D7649B">
        <w:t xml:space="preserve"> </w:t>
      </w:r>
      <w:r w:rsidR="000D78EA">
        <w:t xml:space="preserve">resulting from </w:t>
      </w:r>
      <w:r w:rsidR="00D7649B">
        <w:t xml:space="preserve">the 3.0 </w:t>
      </w:r>
      <w:r w:rsidR="00D7649B">
        <w:rPr>
          <w:rFonts w:cstheme="minorHAnsi"/>
        </w:rPr>
        <w:t>µ</w:t>
      </w:r>
      <w:r w:rsidR="00D7649B">
        <w:t>g m</w:t>
      </w:r>
      <w:r w:rsidR="00D7649B" w:rsidRPr="00D7649B">
        <w:rPr>
          <w:vertAlign w:val="superscript"/>
        </w:rPr>
        <w:t>-3</w:t>
      </w:r>
      <w:r w:rsidR="00D7649B">
        <w:t xml:space="preserve"> reduction in PM</w:t>
      </w:r>
      <w:r w:rsidR="00D7649B" w:rsidRPr="00D7649B">
        <w:rPr>
          <w:vertAlign w:val="subscript"/>
        </w:rPr>
        <w:t>2.5</w:t>
      </w:r>
      <w:r w:rsidR="00D7649B">
        <w:t xml:space="preserve"> in the population</w:t>
      </w:r>
      <w:r w:rsidR="00685A3A">
        <w:t xml:space="preserve"> of England and Wales</w:t>
      </w:r>
      <w:r w:rsidR="00D7649B">
        <w:t xml:space="preserve">. The model was </w:t>
      </w:r>
      <w:r w:rsidR="00A905F3" w:rsidRPr="00094632">
        <w:t xml:space="preserve">parameterized </w:t>
      </w:r>
      <w:r w:rsidR="000D78EA">
        <w:t xml:space="preserve">for these health outcomes </w:t>
      </w:r>
      <w:r w:rsidR="00A905F3" w:rsidRPr="00094632">
        <w:t xml:space="preserve">using </w:t>
      </w:r>
      <w:r w:rsidR="00A905F3">
        <w:t xml:space="preserve">age-specific </w:t>
      </w:r>
      <w:r w:rsidR="00A905F3" w:rsidRPr="00094632">
        <w:t xml:space="preserve">data </w:t>
      </w:r>
      <w:r w:rsidR="00A905F3">
        <w:t xml:space="preserve">representing existing distributions of mortality and disease rates </w:t>
      </w:r>
      <w:r w:rsidR="00A905F3" w:rsidRPr="00094632">
        <w:t>for England and Wales (Table 1). Given the limited evidence available on age-specific rates of asthma recovery/</w:t>
      </w:r>
      <w:r w:rsidR="00A905F3" w:rsidRPr="002B3724">
        <w:t>relapse, plausible</w:t>
      </w:r>
      <w:r w:rsidR="00A905F3" w:rsidRPr="00094632">
        <w:t xml:space="preserve"> approximations of the complex disease dynamics were assumed</w:t>
      </w:r>
      <w:r>
        <w:t xml:space="preserve"> based on a longitudinal study of asthma incidence and prognosis</w:t>
      </w:r>
      <w:r w:rsidR="00D047BF">
        <w:t xml:space="preserve"> </w:t>
      </w:r>
      <w:r>
        <w:t>(</w:t>
      </w:r>
      <w:r w:rsidRPr="00A70AF5">
        <w:t>Strachan</w:t>
      </w:r>
      <w:r>
        <w:t xml:space="preserve"> et al., 1996)</w:t>
      </w:r>
      <w:r w:rsidR="00A905F3" w:rsidRPr="00094632">
        <w:t xml:space="preserve">. Rates of relapse were based on rates of incidence, while for recovery simple age-specific functions were applied. These functions assumed </w:t>
      </w:r>
      <w:r w:rsidR="00A905F3">
        <w:t xml:space="preserve">an </w:t>
      </w:r>
      <w:r w:rsidR="00A905F3" w:rsidRPr="00094632">
        <w:t xml:space="preserve">increase in the probability of recovery from birth until age </w:t>
      </w:r>
      <w:r w:rsidR="00E81C96">
        <w:t>1</w:t>
      </w:r>
      <w:r w:rsidR="00A905F3" w:rsidRPr="00094632">
        <w:t xml:space="preserve">0, followed by a decrease to age </w:t>
      </w:r>
      <w:r w:rsidR="00E81C96">
        <w:t>2</w:t>
      </w:r>
      <w:r w:rsidR="00A905F3" w:rsidRPr="00094632">
        <w:t xml:space="preserve">0, after which </w:t>
      </w:r>
      <w:r w:rsidR="00E81C96">
        <w:t>a constant level of recovery was assumed</w:t>
      </w:r>
      <w:r w:rsidR="00A905F3" w:rsidRPr="00094632">
        <w:t>.</w:t>
      </w:r>
      <w:r w:rsidR="00A905F3">
        <w:t xml:space="preserve"> The increasing and decreasing components of the recovery probability were specifically designed to maximise the correspondence of the modelled asthma prevalence to the observed prevalence</w:t>
      </w:r>
      <w:r w:rsidR="00162814">
        <w:t xml:space="preserve"> in the population</w:t>
      </w:r>
      <w:r w:rsidR="00D452A5">
        <w:t xml:space="preserve"> (</w:t>
      </w:r>
      <w:r w:rsidR="00F07A22">
        <w:t>to ensure that unrealistic increases or decreases in baseline prevalence did not occur over time)</w:t>
      </w:r>
      <w:r w:rsidR="00A905F3">
        <w:t>.</w:t>
      </w:r>
    </w:p>
    <w:p w14:paraId="4D082613" w14:textId="2F6306D3" w:rsidR="009F56EB" w:rsidRDefault="009F56EB" w:rsidP="00E93E9D">
      <w:pPr>
        <w:spacing w:after="120" w:line="480" w:lineRule="auto"/>
      </w:pPr>
      <w:r>
        <w:t xml:space="preserve">The exposure-response functions </w:t>
      </w:r>
      <w:r w:rsidR="00916D66">
        <w:t xml:space="preserve">used in the model to assess the impact of the intervention were based on various sources (Table 1). </w:t>
      </w:r>
      <w:r w:rsidR="007B4B1A">
        <w:t>For</w:t>
      </w:r>
      <w:r w:rsidR="000D78EA">
        <w:t xml:space="preserve"> mortality</w:t>
      </w:r>
      <w:r w:rsidR="00E93E9D">
        <w:t>,</w:t>
      </w:r>
      <w:r w:rsidR="00C00BCB">
        <w:t xml:space="preserve"> </w:t>
      </w:r>
      <w:r w:rsidR="00335200">
        <w:t>evidence was obtained</w:t>
      </w:r>
      <w:r w:rsidR="00E93E9D">
        <w:t xml:space="preserve"> from the American Cancer Society (ACS) cohort study on associations between long-term exposure to PM</w:t>
      </w:r>
      <w:r w:rsidR="00E93E9D" w:rsidRPr="00E93E9D">
        <w:rPr>
          <w:vertAlign w:val="subscript"/>
        </w:rPr>
        <w:t>2.5</w:t>
      </w:r>
      <w:r w:rsidR="00E93E9D">
        <w:t xml:space="preserve"> and all-cause, cardiovascular, and lung cancer mortality (</w:t>
      </w:r>
      <w:r w:rsidR="00520C83" w:rsidRPr="00520C83">
        <w:t>Pope et al., 2002; 2004</w:t>
      </w:r>
      <w:r w:rsidR="00E93E9D">
        <w:t>)</w:t>
      </w:r>
      <w:r w:rsidR="000D78EA">
        <w:t xml:space="preserve">. </w:t>
      </w:r>
      <w:r w:rsidR="00E978FB">
        <w:t xml:space="preserve">For </w:t>
      </w:r>
      <w:r w:rsidR="00E93E9D">
        <w:t>morbidity</w:t>
      </w:r>
      <w:r w:rsidR="006E4CC0">
        <w:t xml:space="preserve"> associated with PM</w:t>
      </w:r>
      <w:r w:rsidR="006E4CC0" w:rsidRPr="006E4CC0">
        <w:rPr>
          <w:vertAlign w:val="subscript"/>
        </w:rPr>
        <w:t>2.5</w:t>
      </w:r>
      <w:r w:rsidR="00E93E9D">
        <w:t xml:space="preserve">, </w:t>
      </w:r>
      <w:r w:rsidR="00335200">
        <w:t xml:space="preserve">evidence for CHD was based on the </w:t>
      </w:r>
      <w:r w:rsidR="00E93E9D" w:rsidRPr="00E93E9D">
        <w:t xml:space="preserve">Women’s Health Initiative study </w:t>
      </w:r>
      <w:r w:rsidR="00E93E9D">
        <w:t>(</w:t>
      </w:r>
      <w:r w:rsidR="00520C83" w:rsidRPr="00520C83">
        <w:t>Miller et al., 2007</w:t>
      </w:r>
      <w:r w:rsidR="00E93E9D">
        <w:t>)</w:t>
      </w:r>
      <w:r w:rsidR="00335200">
        <w:t>, evidence f</w:t>
      </w:r>
      <w:r w:rsidR="00E978FB">
        <w:t>or lung cancer</w:t>
      </w:r>
      <w:r w:rsidR="00335200">
        <w:t xml:space="preserve"> was based on the ACS study</w:t>
      </w:r>
      <w:r w:rsidR="00E93E9D">
        <w:t xml:space="preserve"> (</w:t>
      </w:r>
      <w:r w:rsidR="00520C83" w:rsidRPr="00520C83">
        <w:t>Pope et al., 2002; 2004</w:t>
      </w:r>
      <w:r w:rsidR="00E93E9D">
        <w:t>)</w:t>
      </w:r>
      <w:r w:rsidR="00335200">
        <w:t>, and evidence f</w:t>
      </w:r>
      <w:r w:rsidR="00E978FB">
        <w:t>or asthma</w:t>
      </w:r>
      <w:r w:rsidR="00335200">
        <w:t xml:space="preserve"> was from the </w:t>
      </w:r>
      <w:r w:rsidR="00E93E9D">
        <w:t>Dutch Prevention and Incidence of Asthma and Mite Allergy study (</w:t>
      </w:r>
      <w:proofErr w:type="spellStart"/>
      <w:r w:rsidR="00520C83" w:rsidRPr="00520C83">
        <w:t>Gehring</w:t>
      </w:r>
      <w:proofErr w:type="spellEnd"/>
      <w:r w:rsidR="00520C83" w:rsidRPr="00520C83">
        <w:t xml:space="preserve"> et al., 2010</w:t>
      </w:r>
      <w:r w:rsidR="00E93E9D">
        <w:t>)</w:t>
      </w:r>
      <w:r w:rsidR="00E978FB">
        <w:t>.</w:t>
      </w:r>
      <w:r w:rsidR="00520C83">
        <w:t xml:space="preserve"> Disease-specific utility (quality-of-life) weights were based on WHO Global Burden of Disease </w:t>
      </w:r>
      <w:r w:rsidR="00D86DB2">
        <w:t xml:space="preserve">(GBD) </w:t>
      </w:r>
      <w:r w:rsidR="00520C83">
        <w:t>analyses (</w:t>
      </w:r>
      <w:r w:rsidR="00520C83" w:rsidRPr="00520C83">
        <w:t>WHO, 2008</w:t>
      </w:r>
      <w:r w:rsidR="00520C83">
        <w:t>).</w:t>
      </w:r>
    </w:p>
    <w:p w14:paraId="5340830B" w14:textId="3DDF799C" w:rsidR="00143219" w:rsidRDefault="003B1FC9" w:rsidP="00412DBB">
      <w:pPr>
        <w:spacing w:after="120" w:line="480" w:lineRule="auto"/>
      </w:pPr>
      <w:r>
        <w:t>To account for the lagged effect of the intervention on changes in health status,</w:t>
      </w:r>
      <w:r w:rsidR="003E069F">
        <w:t xml:space="preserve"> time-dependent exponential </w:t>
      </w:r>
      <w:r w:rsidR="009C358D">
        <w:t>f</w:t>
      </w:r>
      <w:r w:rsidR="003E069F">
        <w:t xml:space="preserve">unctions were used </w:t>
      </w:r>
      <w:r w:rsidR="003E069F" w:rsidRPr="00377D7C">
        <w:t xml:space="preserve">to </w:t>
      </w:r>
      <w:r w:rsidR="003E069F">
        <w:t>model the</w:t>
      </w:r>
      <w:r w:rsidR="003E069F" w:rsidRPr="00377D7C">
        <w:t xml:space="preserve"> latency </w:t>
      </w:r>
      <w:r w:rsidR="00B12834">
        <w:t xml:space="preserve">period </w:t>
      </w:r>
      <w:r w:rsidR="003E069F" w:rsidRPr="00377D7C">
        <w:t xml:space="preserve">between </w:t>
      </w:r>
      <w:r w:rsidR="00B12834">
        <w:t>changes</w:t>
      </w:r>
      <w:r w:rsidR="003E069F" w:rsidRPr="00377D7C">
        <w:t xml:space="preserve"> in exposure and changes in </w:t>
      </w:r>
      <w:r w:rsidR="003E069F">
        <w:t xml:space="preserve">risk. For all-cause mortality, CHD and lung cancer impacts, the full </w:t>
      </w:r>
      <w:r w:rsidR="00B12834">
        <w:t>reduction in</w:t>
      </w:r>
      <w:r w:rsidR="003E069F">
        <w:t xml:space="preserve"> risk was assumed to be experienced after 20 </w:t>
      </w:r>
      <w:r w:rsidR="003E069F" w:rsidRPr="00C06D69">
        <w:t>years</w:t>
      </w:r>
      <w:r w:rsidR="00302075" w:rsidRPr="00C06D69">
        <w:t>, based on</w:t>
      </w:r>
      <w:r w:rsidR="009B0223" w:rsidRPr="00C06D69">
        <w:t xml:space="preserve"> </w:t>
      </w:r>
      <w:r w:rsidR="00C06D69" w:rsidRPr="00C06D69">
        <w:t xml:space="preserve">empirical evidence of the effect of smoking </w:t>
      </w:r>
      <w:r w:rsidR="00C06D69" w:rsidRPr="00C06D69">
        <w:lastRenderedPageBreak/>
        <w:t>cessation over time</w:t>
      </w:r>
      <w:r w:rsidR="00F02694" w:rsidRPr="00C06D69">
        <w:t xml:space="preserve"> </w:t>
      </w:r>
      <w:r w:rsidR="006E14BE">
        <w:t xml:space="preserve">and plausible assumptions about disease progression over time </w:t>
      </w:r>
      <w:r w:rsidR="00302075" w:rsidRPr="00C06D69">
        <w:t>(</w:t>
      </w:r>
      <w:r w:rsidR="00C06D69" w:rsidRPr="00C06D69">
        <w:t>Lin et al., 2008</w:t>
      </w:r>
      <w:r w:rsidR="00302075" w:rsidRPr="00C06D69">
        <w:t>)</w:t>
      </w:r>
      <w:r w:rsidR="003E069F" w:rsidRPr="00C06D69">
        <w:t xml:space="preserve">. </w:t>
      </w:r>
      <w:r w:rsidRPr="00C06D69">
        <w:t>Changes</w:t>
      </w:r>
      <w:r>
        <w:t xml:space="preserve"> in asthma risk were assumed to occur without any lag.</w:t>
      </w:r>
    </w:p>
    <w:p w14:paraId="6CF01961" w14:textId="67DE91F9" w:rsidR="00143219" w:rsidRDefault="004E3EC1" w:rsidP="00412DBB">
      <w:pPr>
        <w:spacing w:after="120" w:line="480" w:lineRule="auto"/>
      </w:pPr>
      <w:r>
        <w:t xml:space="preserve">The simulations were </w:t>
      </w:r>
      <w:r w:rsidR="00E605F9">
        <w:t>carried out</w:t>
      </w:r>
      <w:r>
        <w:t xml:space="preserve"> over </w:t>
      </w:r>
      <w:r w:rsidR="0061067F">
        <w:t xml:space="preserve">a follow up period of 90 years to </w:t>
      </w:r>
      <w:r w:rsidR="0069106C">
        <w:t>allow the population alive at the time of the intervention to die out</w:t>
      </w:r>
      <w:r w:rsidR="0061067F">
        <w:t xml:space="preserve"> </w:t>
      </w:r>
      <w:r w:rsidR="00E605F9">
        <w:t xml:space="preserve">(including the </w:t>
      </w:r>
      <w:r w:rsidR="0061067F">
        <w:t>2009 birth cohort</w:t>
      </w:r>
      <w:r w:rsidR="00E605F9">
        <w:t>)</w:t>
      </w:r>
      <w:r w:rsidR="00726808">
        <w:t xml:space="preserve"> and to reflect the full impact on the starting population</w:t>
      </w:r>
      <w:r w:rsidR="00E605F9">
        <w:t xml:space="preserve">. </w:t>
      </w:r>
      <w:r w:rsidR="00E96716">
        <w:t>S</w:t>
      </w:r>
      <w:r w:rsidR="00143219">
        <w:t>imulation</w:t>
      </w:r>
      <w:r w:rsidR="00E96716">
        <w:t>s</w:t>
      </w:r>
      <w:r w:rsidR="00143219">
        <w:t xml:space="preserve"> </w:t>
      </w:r>
      <w:r w:rsidR="00E96716">
        <w:t xml:space="preserve">were </w:t>
      </w:r>
      <w:r w:rsidR="00143219">
        <w:t>performed</w:t>
      </w:r>
      <w:r w:rsidR="00323812">
        <w:t xml:space="preserve"> both</w:t>
      </w:r>
      <w:r w:rsidR="00143219">
        <w:t xml:space="preserve"> with and without asthma recovery to assess the impact of this on t</w:t>
      </w:r>
      <w:r w:rsidR="00323812">
        <w:t>he model predictions of (</w:t>
      </w:r>
      <w:r w:rsidR="00E952F8">
        <w:t>1</w:t>
      </w:r>
      <w:r w:rsidR="00323812">
        <w:t xml:space="preserve">) </w:t>
      </w:r>
      <w:r w:rsidR="00143219">
        <w:t xml:space="preserve">baseline </w:t>
      </w:r>
      <w:r w:rsidR="00323812">
        <w:t xml:space="preserve">disease prevalence </w:t>
      </w:r>
      <w:r w:rsidR="00143219">
        <w:t>and (</w:t>
      </w:r>
      <w:r w:rsidR="00E952F8">
        <w:t>2</w:t>
      </w:r>
      <w:r w:rsidR="00143219">
        <w:t>) the impact of the intervention.</w:t>
      </w:r>
      <w:r w:rsidR="005A322A">
        <w:t xml:space="preserve"> Further details on model parameterisation </w:t>
      </w:r>
      <w:r w:rsidR="00A85BAB">
        <w:t xml:space="preserve">and input data </w:t>
      </w:r>
      <w:r w:rsidR="005A322A">
        <w:t xml:space="preserve">can be found in the </w:t>
      </w:r>
      <w:r w:rsidR="005A322A" w:rsidRPr="005A322A">
        <w:t>Web Appendix.</w:t>
      </w:r>
    </w:p>
    <w:p w14:paraId="520A9D04" w14:textId="77777777" w:rsidR="00F25C54" w:rsidRDefault="00F25C54" w:rsidP="00412DBB">
      <w:r>
        <w:br w:type="page"/>
      </w:r>
    </w:p>
    <w:p w14:paraId="7C36892D" w14:textId="77777777" w:rsidR="004F03B2" w:rsidRPr="003D599C" w:rsidRDefault="003D599C" w:rsidP="00553513">
      <w:pPr>
        <w:spacing w:line="480" w:lineRule="auto"/>
        <w:ind w:left="720"/>
        <w:rPr>
          <w:b/>
          <w:sz w:val="28"/>
          <w:szCs w:val="28"/>
        </w:rPr>
      </w:pPr>
      <w:r>
        <w:rPr>
          <w:b/>
          <w:sz w:val="28"/>
          <w:szCs w:val="28"/>
        </w:rPr>
        <w:lastRenderedPageBreak/>
        <w:t xml:space="preserve">3. </w:t>
      </w:r>
      <w:r w:rsidR="004F03B2" w:rsidRPr="003D599C">
        <w:rPr>
          <w:b/>
          <w:sz w:val="28"/>
          <w:szCs w:val="28"/>
        </w:rPr>
        <w:t>RESULTS</w:t>
      </w:r>
    </w:p>
    <w:p w14:paraId="533984AC" w14:textId="77777777" w:rsidR="003D599C" w:rsidRDefault="00E463C5" w:rsidP="00412DBB">
      <w:pPr>
        <w:spacing w:line="480" w:lineRule="auto"/>
      </w:pPr>
      <w:r w:rsidRPr="00094632">
        <w:t xml:space="preserve">Without recovery and relapse in the simulation, asthma prevalence is determined solely by the incidence and mortality rates, resulting in unrealistically high levels </w:t>
      </w:r>
      <w:r w:rsidR="008A47FE">
        <w:t xml:space="preserve">of the condition </w:t>
      </w:r>
      <w:r w:rsidRPr="00094632">
        <w:t>in the population (</w:t>
      </w:r>
      <w:r w:rsidR="004519BA">
        <w:t>Fig. 2</w:t>
      </w:r>
      <w:r w:rsidRPr="00094632">
        <w:t xml:space="preserve">). In reality, many </w:t>
      </w:r>
      <w:r w:rsidR="008A47FE">
        <w:t>people</w:t>
      </w:r>
      <w:r w:rsidRPr="00094632">
        <w:t xml:space="preserve"> with asthma </w:t>
      </w:r>
      <w:r w:rsidR="00E4656A">
        <w:t xml:space="preserve">will </w:t>
      </w:r>
      <w:r w:rsidRPr="00094632">
        <w:t>recover</w:t>
      </w:r>
      <w:r w:rsidR="008A47FE">
        <w:t>, particularly</w:t>
      </w:r>
      <w:r w:rsidRPr="00094632">
        <w:t xml:space="preserve"> in adolescence and </w:t>
      </w:r>
      <w:r w:rsidR="008A47FE">
        <w:t xml:space="preserve">early </w:t>
      </w:r>
      <w:r w:rsidRPr="00094632">
        <w:t>adulthood; this movement from asthma to the recovered state is required in the model to replicate more closely the actual prevalence. On the other hand, for conditions such as CHD and lung cancer, which occur mostly in older ages</w:t>
      </w:r>
      <w:r w:rsidR="00982FA8">
        <w:t xml:space="preserve"> and without appreciable recovery</w:t>
      </w:r>
      <w:r w:rsidRPr="00094632">
        <w:t>, the model</w:t>
      </w:r>
      <w:r w:rsidR="00982FA8">
        <w:t xml:space="preserve">led levels in </w:t>
      </w:r>
      <w:r w:rsidR="000C45F1">
        <w:t>t</w:t>
      </w:r>
      <w:r w:rsidR="00982FA8">
        <w:t>he population remain relatively constant into the future</w:t>
      </w:r>
      <w:r w:rsidR="008A47FE">
        <w:t>.</w:t>
      </w:r>
    </w:p>
    <w:p w14:paraId="60A3A81A" w14:textId="0B025846" w:rsidR="001A2059" w:rsidRDefault="00E753E3" w:rsidP="00412DBB">
      <w:pPr>
        <w:spacing w:line="480" w:lineRule="auto"/>
      </w:pPr>
      <w:r>
        <w:t>The model</w:t>
      </w:r>
      <w:r w:rsidR="00162814">
        <w:t>,</w:t>
      </w:r>
      <w:r w:rsidR="00A905F3" w:rsidRPr="00BD7BD2">
        <w:t xml:space="preserve"> </w:t>
      </w:r>
      <w:r w:rsidR="00205DD2">
        <w:t>including asthma</w:t>
      </w:r>
      <w:r>
        <w:t xml:space="preserve"> recovery</w:t>
      </w:r>
      <w:r w:rsidR="00162814">
        <w:t>,</w:t>
      </w:r>
      <w:r>
        <w:t xml:space="preserve"> suggests</w:t>
      </w:r>
      <w:r w:rsidR="00A905F3" w:rsidRPr="00BD7BD2">
        <w:t xml:space="preserve"> </w:t>
      </w:r>
      <w:r>
        <w:t xml:space="preserve">the intervention </w:t>
      </w:r>
      <w:r w:rsidR="00A905F3" w:rsidRPr="00BD7BD2">
        <w:t>(3 µg m</w:t>
      </w:r>
      <w:r w:rsidR="00A905F3" w:rsidRPr="00BD7BD2">
        <w:rPr>
          <w:vertAlign w:val="superscript"/>
        </w:rPr>
        <w:t>-3</w:t>
      </w:r>
      <w:r w:rsidR="00A905F3" w:rsidRPr="00BD7BD2">
        <w:t xml:space="preserve"> reduction in PM</w:t>
      </w:r>
      <w:r w:rsidR="00A905F3" w:rsidRPr="00BD7BD2">
        <w:rPr>
          <w:vertAlign w:val="subscript"/>
        </w:rPr>
        <w:t>2.5</w:t>
      </w:r>
      <w:r w:rsidR="00A905F3" w:rsidRPr="00BD7BD2">
        <w:t xml:space="preserve">) </w:t>
      </w:r>
      <w:r>
        <w:t xml:space="preserve">would result in an </w:t>
      </w:r>
      <w:r w:rsidR="00657DB6" w:rsidRPr="00BD7BD2">
        <w:t xml:space="preserve">increase of </w:t>
      </w:r>
      <w:r w:rsidR="00BD7BD2" w:rsidRPr="00BD7BD2">
        <w:t>just over 13 million QALYs o</w:t>
      </w:r>
      <w:r w:rsidR="00657DB6" w:rsidRPr="00BD7BD2">
        <w:t xml:space="preserve">ver </w:t>
      </w:r>
      <w:r w:rsidR="00BD7BD2" w:rsidRPr="00BD7BD2">
        <w:t xml:space="preserve">the modelled 90 year follow up period (Table 2). There would also be </w:t>
      </w:r>
      <w:r w:rsidR="00A905F3" w:rsidRPr="00BD7BD2">
        <w:t xml:space="preserve">an average increase in </w:t>
      </w:r>
      <w:r w:rsidR="0036358F">
        <w:t>quality-a</w:t>
      </w:r>
      <w:r w:rsidR="0067136E">
        <w:t xml:space="preserve">djusted </w:t>
      </w:r>
      <w:r w:rsidR="0036358F">
        <w:t>life expectancy</w:t>
      </w:r>
      <w:r w:rsidR="00A905F3" w:rsidRPr="00BD7BD2">
        <w:t xml:space="preserve"> at birth of </w:t>
      </w:r>
      <w:r w:rsidR="0067136E">
        <w:t xml:space="preserve">101 </w:t>
      </w:r>
      <w:r w:rsidR="00A905F3" w:rsidRPr="00BD7BD2">
        <w:t xml:space="preserve">and </w:t>
      </w:r>
      <w:r w:rsidR="00D31034" w:rsidRPr="00BD7BD2">
        <w:t>6</w:t>
      </w:r>
      <w:r w:rsidR="0067136E">
        <w:t>8</w:t>
      </w:r>
      <w:r w:rsidR="00A905F3" w:rsidRPr="00BD7BD2">
        <w:t xml:space="preserve"> days for males and females, respectively.</w:t>
      </w:r>
      <w:r w:rsidR="00BD7BD2">
        <w:t xml:space="preserve"> </w:t>
      </w:r>
      <w:r w:rsidR="00A905F3" w:rsidRPr="00094632">
        <w:t>The slightly larger gains for males represent the higher baseline mortality rates and prevalence of childhood asthm</w:t>
      </w:r>
      <w:r w:rsidR="00162814">
        <w:t xml:space="preserve">a, coronary heart disease </w:t>
      </w:r>
      <w:r w:rsidR="00A905F3" w:rsidRPr="00094632">
        <w:t>and lung cancer in males. Since the reduced PM</w:t>
      </w:r>
      <w:r w:rsidR="00A905F3" w:rsidRPr="00094632">
        <w:rPr>
          <w:vertAlign w:val="subscript"/>
        </w:rPr>
        <w:t>2.5</w:t>
      </w:r>
      <w:r w:rsidR="00A905F3" w:rsidRPr="00094632">
        <w:t xml:space="preserve"> exposure results in people living longer on average, the main benefit in life years lived is experienced at older ages. </w:t>
      </w:r>
      <w:r w:rsidR="00BD7BD2">
        <w:t xml:space="preserve">As Table 2 shows, </w:t>
      </w:r>
      <w:r w:rsidR="00B72B24" w:rsidRPr="00094632">
        <w:t xml:space="preserve">the incorporation of asthma recovery has </w:t>
      </w:r>
      <w:r>
        <w:t>only a modest</w:t>
      </w:r>
      <w:r w:rsidR="00B72B24">
        <w:t xml:space="preserve"> effect on the life table</w:t>
      </w:r>
      <w:r>
        <w:t xml:space="preserve"> results</w:t>
      </w:r>
      <w:r w:rsidR="00B72B24">
        <w:t xml:space="preserve">, </w:t>
      </w:r>
      <w:r w:rsidR="00B72B24" w:rsidRPr="00094632">
        <w:t>since the overall health impact is dominated by the higher severity health outcomes (mortality, CHD and lung cancer).</w:t>
      </w:r>
    </w:p>
    <w:p w14:paraId="0174E3B0" w14:textId="77777777" w:rsidR="00A905F3" w:rsidRPr="009F018F" w:rsidRDefault="009F018F" w:rsidP="00412DBB">
      <w:pPr>
        <w:spacing w:line="480" w:lineRule="auto"/>
      </w:pPr>
      <w:r>
        <w:t>B</w:t>
      </w:r>
      <w:r w:rsidR="00A905F3" w:rsidRPr="00094632">
        <w:t>enefit</w:t>
      </w:r>
      <w:r w:rsidR="00152883">
        <w:t>s of the intervention</w:t>
      </w:r>
      <w:r>
        <w:t xml:space="preserve"> for mortality</w:t>
      </w:r>
      <w:r w:rsidR="00A905F3" w:rsidRPr="00094632">
        <w:t xml:space="preserve"> (not </w:t>
      </w:r>
      <w:r w:rsidR="006976F2">
        <w:t>plotted</w:t>
      </w:r>
      <w:r w:rsidR="00A905F3" w:rsidRPr="00094632">
        <w:t xml:space="preserve"> here) </w:t>
      </w:r>
      <w:r>
        <w:t>would generally increase with age, reaching a peak at around age 80 with over 300 fewer deaths in the population per year at this age</w:t>
      </w:r>
      <w:r w:rsidR="009219DB">
        <w:t xml:space="preserve"> by the end of the follow up period</w:t>
      </w:r>
      <w:r>
        <w:t xml:space="preserve">. </w:t>
      </w:r>
      <w:r w:rsidR="00F9587D">
        <w:t>Due to t</w:t>
      </w:r>
      <w:r>
        <w:t>he resulting upward shift in the age structure of the population, a</w:t>
      </w:r>
      <w:r w:rsidR="00A905F3" w:rsidRPr="00094632">
        <w:t xml:space="preserve">t above </w:t>
      </w:r>
      <w:r w:rsidR="00F9587D">
        <w:t xml:space="preserve">age </w:t>
      </w:r>
      <w:r>
        <w:t>80</w:t>
      </w:r>
      <w:r w:rsidR="00F9587D">
        <w:t xml:space="preserve"> the benefits begin to decrease. A</w:t>
      </w:r>
      <w:r w:rsidR="00A905F3" w:rsidRPr="00094632">
        <w:t xml:space="preserve">pproaching age </w:t>
      </w:r>
      <w:r>
        <w:t>90</w:t>
      </w:r>
      <w:r w:rsidR="00A905F3" w:rsidRPr="00094632">
        <w:t xml:space="preserve"> more deaths occur </w:t>
      </w:r>
      <w:r w:rsidR="009219DB">
        <w:t xml:space="preserve">following the intervention </w:t>
      </w:r>
      <w:r w:rsidR="00A905F3" w:rsidRPr="00094632">
        <w:t>than in the baseline (pre-intervention) scenario because the reduced exposure does not avert deaths but merely postpones them: the total number of deaths remains the same over the longer term, leading to an increase at older ages</w:t>
      </w:r>
      <w:r w:rsidR="00152883">
        <w:t xml:space="preserve"> as the population at these ages becomes larger</w:t>
      </w:r>
      <w:r w:rsidR="00A905F3" w:rsidRPr="00094632">
        <w:t>.</w:t>
      </w:r>
    </w:p>
    <w:p w14:paraId="7C4F7C2C" w14:textId="77777777" w:rsidR="0077732D" w:rsidRDefault="00A905F3" w:rsidP="0051621F">
      <w:pPr>
        <w:spacing w:line="480" w:lineRule="auto"/>
      </w:pPr>
      <w:r>
        <w:lastRenderedPageBreak/>
        <w:t>The multi</w:t>
      </w:r>
      <w:r w:rsidRPr="00094632">
        <w:t>state model also provides relevant morbidity information that cannot be obtained using a standard life table</w:t>
      </w:r>
      <w:r w:rsidR="009219DB">
        <w:t>, demonstrating substantial</w:t>
      </w:r>
      <w:r w:rsidR="00DF0DC5">
        <w:t xml:space="preserve"> r</w:t>
      </w:r>
      <w:r w:rsidRPr="00094632">
        <w:t xml:space="preserve">eductions in the number of new disease cases </w:t>
      </w:r>
      <w:r w:rsidR="00BB5CBF">
        <w:t xml:space="preserve">due to the intervention </w:t>
      </w:r>
      <w:r w:rsidR="009219DB">
        <w:t>and</w:t>
      </w:r>
      <w:r w:rsidRPr="00094632">
        <w:t xml:space="preserve"> corresponding reductions in disease burdens</w:t>
      </w:r>
      <w:r w:rsidR="0027320D">
        <w:t xml:space="preserve"> over the follow up period (Fig. 3)</w:t>
      </w:r>
      <w:r w:rsidRPr="00094632">
        <w:t xml:space="preserve">. </w:t>
      </w:r>
      <w:r w:rsidR="0027320D">
        <w:t xml:space="preserve">Note that here the plots show the burden averted for each disease. </w:t>
      </w:r>
      <w:r w:rsidR="0077732D">
        <w:t>After the full 90 year follow up period, approximately 2</w:t>
      </w:r>
      <w:r w:rsidR="007F5BEB">
        <w:t>6</w:t>
      </w:r>
      <w:r w:rsidR="0077732D">
        <w:t>0,000 fewer people in England and Wales would have asthma, 5</w:t>
      </w:r>
      <w:r w:rsidR="007F5BEB">
        <w:t>5</w:t>
      </w:r>
      <w:r w:rsidR="0077732D">
        <w:t xml:space="preserve">,000 fewer would have </w:t>
      </w:r>
      <w:r w:rsidR="0077732D" w:rsidRPr="007F5BEB">
        <w:t xml:space="preserve">CHD, and </w:t>
      </w:r>
      <w:r w:rsidR="007F5BEB" w:rsidRPr="007F5BEB">
        <w:t>3</w:t>
      </w:r>
      <w:r w:rsidR="0077732D" w:rsidRPr="007F5BEB">
        <w:t>,000 fewer would</w:t>
      </w:r>
      <w:r w:rsidR="0077732D">
        <w:t xml:space="preserve"> have lung cancer.</w:t>
      </w:r>
      <w:r w:rsidR="00AC48C4">
        <w:t xml:space="preserve"> Again the plot demonstrates that, unlike the model predictions of baseline disease prevalence (Fig. 2), inclusion of asthma recovery in the intervention impact assessment has only a minor effect on the results.</w:t>
      </w:r>
    </w:p>
    <w:p w14:paraId="105BAEC2" w14:textId="3E448871" w:rsidR="009219DB" w:rsidRDefault="009219DB" w:rsidP="0051621F">
      <w:pPr>
        <w:spacing w:line="480" w:lineRule="auto"/>
      </w:pPr>
      <w:r>
        <w:t xml:space="preserve">Figure 4 shows </w:t>
      </w:r>
      <w:r w:rsidR="0051621F">
        <w:t xml:space="preserve">the reduction in the number of cases of each disease at different ages by the end of the follow up period. For asthma, there is benefit </w:t>
      </w:r>
      <w:r>
        <w:t>across all ages</w:t>
      </w:r>
      <w:r w:rsidR="0051621F">
        <w:t xml:space="preserve">. However, for CHD and lung cancer, benefits begin </w:t>
      </w:r>
      <w:r>
        <w:t xml:space="preserve">to </w:t>
      </w:r>
      <w:r w:rsidR="0051621F">
        <w:t>accrue from approximately age 40 and increase until roughly age 70. Above this age, the relative b</w:t>
      </w:r>
      <w:r w:rsidR="00A70ED5">
        <w:t>enefit decreases and approaching age 90</w:t>
      </w:r>
      <w:r w:rsidR="0051621F">
        <w:t xml:space="preserve"> there would be a greater number of people with each disease than at present. Again, this is due to the increased population at older ages </w:t>
      </w:r>
      <w:r w:rsidR="00A70ED5">
        <w:t xml:space="preserve">resulting from </w:t>
      </w:r>
      <w:r w:rsidR="0051621F">
        <w:t>increase</w:t>
      </w:r>
      <w:r w:rsidR="00A70ED5">
        <w:t>s in</w:t>
      </w:r>
      <w:r w:rsidR="0051621F">
        <w:t xml:space="preserve"> life expectancy</w:t>
      </w:r>
      <w:r w:rsidR="00347655">
        <w:t xml:space="preserve"> due to the </w:t>
      </w:r>
      <w:r w:rsidR="00D452A5">
        <w:t xml:space="preserve">housing </w:t>
      </w:r>
      <w:r w:rsidR="00347655">
        <w:t>intervention</w:t>
      </w:r>
      <w:r w:rsidR="0051621F">
        <w:t>.</w:t>
      </w:r>
    </w:p>
    <w:p w14:paraId="284BF06A" w14:textId="77777777" w:rsidR="006B73C3" w:rsidRDefault="006B73C3" w:rsidP="0051621F">
      <w:pPr>
        <w:spacing w:line="480" w:lineRule="auto"/>
      </w:pPr>
      <w:r>
        <w:br w:type="page"/>
      </w:r>
    </w:p>
    <w:p w14:paraId="0452E53C" w14:textId="77777777" w:rsidR="00F90BE4" w:rsidRPr="00553513" w:rsidRDefault="008B6033" w:rsidP="00553513">
      <w:pPr>
        <w:pStyle w:val="ListParagraph"/>
        <w:numPr>
          <w:ilvl w:val="0"/>
          <w:numId w:val="11"/>
        </w:numPr>
        <w:spacing w:line="480" w:lineRule="auto"/>
        <w:rPr>
          <w:b/>
          <w:sz w:val="28"/>
          <w:szCs w:val="28"/>
        </w:rPr>
      </w:pPr>
      <w:r w:rsidRPr="00553513">
        <w:rPr>
          <w:b/>
          <w:sz w:val="28"/>
          <w:szCs w:val="28"/>
        </w:rPr>
        <w:lastRenderedPageBreak/>
        <w:t xml:space="preserve">DISCUSSION </w:t>
      </w:r>
    </w:p>
    <w:p w14:paraId="7B30D049" w14:textId="7401357B" w:rsidR="001F3465" w:rsidRDefault="00D434A0" w:rsidP="0051621F">
      <w:pPr>
        <w:spacing w:line="480" w:lineRule="auto"/>
      </w:pPr>
      <w:r>
        <w:t xml:space="preserve">Our results suggest that home energy efficiency interventions in </w:t>
      </w:r>
      <w:r w:rsidR="00685A3A">
        <w:t>England and Wales</w:t>
      </w:r>
      <w:r>
        <w:t xml:space="preserve">, </w:t>
      </w:r>
      <w:r w:rsidR="0085520A">
        <w:t>leading to a reduction in</w:t>
      </w:r>
      <w:r>
        <w:t xml:space="preserve"> average indoor exposure to PM</w:t>
      </w:r>
      <w:r w:rsidRPr="00D434A0">
        <w:rPr>
          <w:vertAlign w:val="subscript"/>
        </w:rPr>
        <w:t>2.5</w:t>
      </w:r>
      <w:r>
        <w:t xml:space="preserve"> by 3.0 µg m</w:t>
      </w:r>
      <w:r w:rsidRPr="00D434A0">
        <w:rPr>
          <w:vertAlign w:val="superscript"/>
        </w:rPr>
        <w:t>-3</w:t>
      </w:r>
      <w:r>
        <w:t>, woul</w:t>
      </w:r>
      <w:r w:rsidR="0085520A">
        <w:t xml:space="preserve">d increase </w:t>
      </w:r>
      <w:r w:rsidR="00FC5CCE">
        <w:t xml:space="preserve">quality adjusted </w:t>
      </w:r>
      <w:r w:rsidR="0085520A">
        <w:t>average</w:t>
      </w:r>
      <w:r w:rsidR="0085520A" w:rsidRPr="00BD7BD2">
        <w:t xml:space="preserve"> life expectancy </w:t>
      </w:r>
      <w:r w:rsidR="0085520A">
        <w:t xml:space="preserve">by approximately three </w:t>
      </w:r>
      <w:r w:rsidR="00FC5CCE">
        <w:t xml:space="preserve">and a half </w:t>
      </w:r>
      <w:r w:rsidR="0085520A">
        <w:t xml:space="preserve">months </w:t>
      </w:r>
      <w:r w:rsidR="0085520A" w:rsidRPr="00BD7BD2">
        <w:t xml:space="preserve">for males and </w:t>
      </w:r>
      <w:r w:rsidR="0085520A">
        <w:t xml:space="preserve">two months </w:t>
      </w:r>
      <w:r w:rsidR="0085520A" w:rsidRPr="00BD7BD2">
        <w:t xml:space="preserve">females, </w:t>
      </w:r>
      <w:r w:rsidR="0085520A">
        <w:t>and a greater proportion of life would spent be in good health. Over the modelled 90 year follow up period, the population would live an addit</w:t>
      </w:r>
      <w:r w:rsidR="00F17457">
        <w:t xml:space="preserve">ional </w:t>
      </w:r>
      <w:r w:rsidR="0085520A">
        <w:t>13 million QALYs.</w:t>
      </w:r>
      <w:r w:rsidR="005F20F8">
        <w:t xml:space="preserve"> By this time, there would be roughly 2</w:t>
      </w:r>
      <w:r w:rsidR="007F5BEB">
        <w:t>6</w:t>
      </w:r>
      <w:r w:rsidR="005F20F8">
        <w:t>0,000 fewer people with asthma, 5</w:t>
      </w:r>
      <w:r w:rsidR="007F5BEB">
        <w:t>3</w:t>
      </w:r>
      <w:r w:rsidR="005F20F8">
        <w:t xml:space="preserve">,000 fewer with </w:t>
      </w:r>
      <w:r w:rsidR="005F20F8" w:rsidRPr="007F5BEB">
        <w:t xml:space="preserve">CHD and </w:t>
      </w:r>
      <w:r w:rsidR="007F5BEB" w:rsidRPr="007F5BEB">
        <w:t>3</w:t>
      </w:r>
      <w:r w:rsidR="005F20F8" w:rsidRPr="007F5BEB">
        <w:t>,000 fewer with</w:t>
      </w:r>
      <w:r w:rsidR="005F20F8">
        <w:t xml:space="preserve"> lung cancer. </w:t>
      </w:r>
      <w:r w:rsidR="00660EE4" w:rsidRPr="00094632">
        <w:t xml:space="preserve">As demonstrated, </w:t>
      </w:r>
      <w:r w:rsidR="002433EF" w:rsidRPr="00094632">
        <w:t xml:space="preserve">our </w:t>
      </w:r>
      <w:r w:rsidR="00483DB8">
        <w:t>multi</w:t>
      </w:r>
      <w:r w:rsidR="00B76DFF" w:rsidRPr="00094632">
        <w:t xml:space="preserve">state </w:t>
      </w:r>
      <w:r w:rsidR="002D5C49" w:rsidRPr="00094632">
        <w:t xml:space="preserve">life table </w:t>
      </w:r>
      <w:r w:rsidR="00B76DFF" w:rsidRPr="00094632">
        <w:t xml:space="preserve">model </w:t>
      </w:r>
      <w:r w:rsidR="00660EE4" w:rsidRPr="00094632">
        <w:t xml:space="preserve">can yield results of health impact </w:t>
      </w:r>
      <w:r w:rsidR="002D5C49" w:rsidRPr="00094632">
        <w:t xml:space="preserve">with a greater level of </w:t>
      </w:r>
      <w:r w:rsidR="00FC34CF">
        <w:t>detail</w:t>
      </w:r>
      <w:r w:rsidR="002D5C49" w:rsidRPr="00094632">
        <w:t xml:space="preserve"> than</w:t>
      </w:r>
      <w:r w:rsidR="00660EE4" w:rsidRPr="00094632">
        <w:t xml:space="preserve"> those of </w:t>
      </w:r>
      <w:r w:rsidR="002D5C49" w:rsidRPr="00094632">
        <w:t xml:space="preserve">a </w:t>
      </w:r>
      <w:r w:rsidR="00660EE4" w:rsidRPr="00094632">
        <w:t xml:space="preserve">conventional mortality-only </w:t>
      </w:r>
      <w:r w:rsidR="00B76DFF" w:rsidRPr="00094632">
        <w:t>life table</w:t>
      </w:r>
      <w:r w:rsidR="00660EE4" w:rsidRPr="00094632">
        <w:t>, by allowing the accounting of changes in morbid states, including recovery from disease. This provide</w:t>
      </w:r>
      <w:r w:rsidR="008C109E" w:rsidRPr="00094632">
        <w:t>s</w:t>
      </w:r>
      <w:r w:rsidR="00660EE4" w:rsidRPr="00094632">
        <w:t xml:space="preserve"> more </w:t>
      </w:r>
      <w:r w:rsidR="0042584C" w:rsidRPr="00094632">
        <w:t xml:space="preserve">realistic </w:t>
      </w:r>
      <w:r w:rsidR="00660EE4" w:rsidRPr="00094632">
        <w:t xml:space="preserve">representation of </w:t>
      </w:r>
      <w:r w:rsidR="0042584C" w:rsidRPr="00094632">
        <w:t xml:space="preserve">disease dynamics </w:t>
      </w:r>
      <w:r w:rsidR="008C109E" w:rsidRPr="00094632">
        <w:t xml:space="preserve">which may be important for the accurate </w:t>
      </w:r>
      <w:r w:rsidR="0042584C" w:rsidRPr="00094632">
        <w:t xml:space="preserve">estimation of </w:t>
      </w:r>
      <w:r w:rsidR="008C109E" w:rsidRPr="00094632">
        <w:t xml:space="preserve">overall health burdens for diseases </w:t>
      </w:r>
      <w:r w:rsidR="001B7336" w:rsidRPr="00094632">
        <w:t>that</w:t>
      </w:r>
      <w:r w:rsidR="008C109E" w:rsidRPr="00094632">
        <w:t xml:space="preserve"> have </w:t>
      </w:r>
      <w:r w:rsidR="0042584C" w:rsidRPr="00094632">
        <w:t xml:space="preserve">impacts </w:t>
      </w:r>
      <w:r w:rsidR="008C109E" w:rsidRPr="00094632">
        <w:t>on quality</w:t>
      </w:r>
      <w:r w:rsidR="002433EF" w:rsidRPr="00094632">
        <w:t>-</w:t>
      </w:r>
      <w:r w:rsidR="008C109E" w:rsidRPr="00094632">
        <w:t>of</w:t>
      </w:r>
      <w:r w:rsidR="002433EF" w:rsidRPr="00094632">
        <w:t>-</w:t>
      </w:r>
      <w:r w:rsidR="008C109E" w:rsidRPr="00094632">
        <w:t>life as well as the duration of life.</w:t>
      </w:r>
      <w:r w:rsidR="0042584C" w:rsidRPr="00094632">
        <w:t xml:space="preserve"> Allowing modellers and policy-makers to study </w:t>
      </w:r>
      <w:r w:rsidR="00CC167C" w:rsidRPr="00094632">
        <w:t xml:space="preserve">morbidity </w:t>
      </w:r>
      <w:r w:rsidR="008A5947" w:rsidRPr="00094632">
        <w:t xml:space="preserve">with recovery </w:t>
      </w:r>
      <w:r w:rsidR="008C109E" w:rsidRPr="00094632">
        <w:t xml:space="preserve">in addition to mortality may be important for many </w:t>
      </w:r>
      <w:r w:rsidR="005448D1" w:rsidRPr="00094632">
        <w:t>policy assessments</w:t>
      </w:r>
      <w:r w:rsidR="008C109E" w:rsidRPr="00094632">
        <w:t xml:space="preserve">, especially where, as with indoor </w:t>
      </w:r>
      <w:r w:rsidR="001B7336" w:rsidRPr="00094632">
        <w:t>air quality</w:t>
      </w:r>
      <w:r w:rsidR="008C109E" w:rsidRPr="00094632">
        <w:t xml:space="preserve"> and respiratory illness, there may be frequent adverse effects but seldom fatal. </w:t>
      </w:r>
      <w:r w:rsidR="00863AD5" w:rsidRPr="00094632">
        <w:t>T</w:t>
      </w:r>
      <w:r w:rsidR="00330F68" w:rsidRPr="00094632">
        <w:t xml:space="preserve">he new </w:t>
      </w:r>
      <w:r w:rsidR="00483DB8">
        <w:t>multi</w:t>
      </w:r>
      <w:r w:rsidR="00863AD5" w:rsidRPr="00094632">
        <w:t xml:space="preserve">state </w:t>
      </w:r>
      <w:r w:rsidR="00330F68" w:rsidRPr="00094632">
        <w:t xml:space="preserve">model </w:t>
      </w:r>
      <w:r w:rsidR="008A5947" w:rsidRPr="00094632">
        <w:t xml:space="preserve">is well suited to modelling such complexities, allowing </w:t>
      </w:r>
      <w:r w:rsidR="00330F68" w:rsidRPr="00094632">
        <w:t>the user to study the implications for various disease states in different age groups</w:t>
      </w:r>
      <w:r w:rsidR="00A35DDA" w:rsidRPr="00094632">
        <w:t xml:space="preserve"> where the balance of morbid</w:t>
      </w:r>
      <w:r w:rsidR="001B7336" w:rsidRPr="00094632">
        <w:t>ity</w:t>
      </w:r>
      <w:r w:rsidR="00A35DDA" w:rsidRPr="00094632">
        <w:t xml:space="preserve"> and mortality may vary</w:t>
      </w:r>
      <w:r w:rsidR="0043009A" w:rsidRPr="00094632">
        <w:t>.</w:t>
      </w:r>
      <w:r w:rsidR="00A35DDA" w:rsidRPr="00094632">
        <w:t xml:space="preserve"> </w:t>
      </w:r>
    </w:p>
    <w:p w14:paraId="1AB38824" w14:textId="16A388B2" w:rsidR="00D731FB" w:rsidRDefault="00FC34CF" w:rsidP="00412DBB">
      <w:pPr>
        <w:spacing w:line="480" w:lineRule="auto"/>
      </w:pPr>
      <w:r w:rsidRPr="00F12A3F">
        <w:t xml:space="preserve">The </w:t>
      </w:r>
      <w:r w:rsidR="00E7492F" w:rsidRPr="00F12A3F">
        <w:t xml:space="preserve">results </w:t>
      </w:r>
      <w:r w:rsidR="004F0B76" w:rsidRPr="00F12A3F">
        <w:t>serve</w:t>
      </w:r>
      <w:r w:rsidR="0022165C" w:rsidRPr="00F12A3F">
        <w:t xml:space="preserve"> to </w:t>
      </w:r>
      <w:r w:rsidR="00E7492F" w:rsidRPr="00F12A3F">
        <w:t>highlight</w:t>
      </w:r>
      <w:r w:rsidR="00F72308" w:rsidRPr="00F12A3F">
        <w:t xml:space="preserve"> </w:t>
      </w:r>
      <w:r w:rsidR="00E7492F" w:rsidRPr="00F12A3F">
        <w:t xml:space="preserve">important </w:t>
      </w:r>
      <w:r w:rsidR="00F72308" w:rsidRPr="00F12A3F">
        <w:t xml:space="preserve">benefits </w:t>
      </w:r>
      <w:r w:rsidR="0022165C" w:rsidRPr="00F12A3F">
        <w:t>of</w:t>
      </w:r>
      <w:r w:rsidR="00F72308" w:rsidRPr="00F12A3F">
        <w:t xml:space="preserve"> </w:t>
      </w:r>
      <w:r w:rsidR="0093522C">
        <w:t xml:space="preserve">the </w:t>
      </w:r>
      <w:r w:rsidR="00F72308" w:rsidRPr="00F12A3F">
        <w:t>model.</w:t>
      </w:r>
      <w:r w:rsidR="00F12A3F" w:rsidRPr="00F12A3F">
        <w:t xml:space="preserve"> </w:t>
      </w:r>
      <w:r w:rsidR="00F72308" w:rsidRPr="00F12A3F">
        <w:t>First, for ‘transient’ condition</w:t>
      </w:r>
      <w:r w:rsidR="00602ADF" w:rsidRPr="00F12A3F">
        <w:t>s</w:t>
      </w:r>
      <w:r w:rsidR="000651E5">
        <w:t xml:space="preserve"> like asthma </w:t>
      </w:r>
      <w:r w:rsidR="00396C43" w:rsidRPr="00F12A3F">
        <w:t xml:space="preserve">where people </w:t>
      </w:r>
      <w:r w:rsidR="00F12A3F">
        <w:t xml:space="preserve">may potentially </w:t>
      </w:r>
      <w:r w:rsidR="00396C43" w:rsidRPr="00F12A3F">
        <w:t>recover and relapse</w:t>
      </w:r>
      <w:r w:rsidR="00553513">
        <w:t xml:space="preserve"> from the disease</w:t>
      </w:r>
      <w:r w:rsidR="00396C43" w:rsidRPr="00F12A3F">
        <w:t xml:space="preserve">, </w:t>
      </w:r>
      <w:r w:rsidR="0001503F">
        <w:t xml:space="preserve">it is </w:t>
      </w:r>
      <w:r w:rsidR="00F72308" w:rsidRPr="00F12A3F">
        <w:t xml:space="preserve">important to </w:t>
      </w:r>
      <w:r w:rsidR="0001503F">
        <w:t>model</w:t>
      </w:r>
      <w:r w:rsidR="00F72308" w:rsidRPr="00F12A3F">
        <w:t xml:space="preserve"> </w:t>
      </w:r>
      <w:r w:rsidR="0001503F">
        <w:t xml:space="preserve">these effects. Failure to do so </w:t>
      </w:r>
      <w:r w:rsidR="0093522C">
        <w:t>may</w:t>
      </w:r>
      <w:r w:rsidR="0001503F">
        <w:t xml:space="preserve"> result in overestimation of</w:t>
      </w:r>
      <w:r w:rsidR="00F72308" w:rsidRPr="00F12A3F">
        <w:t xml:space="preserve"> </w:t>
      </w:r>
      <w:r w:rsidR="00396C43" w:rsidRPr="00F12A3F">
        <w:t xml:space="preserve">baseline </w:t>
      </w:r>
      <w:r w:rsidR="0001503F">
        <w:t xml:space="preserve">disease </w:t>
      </w:r>
      <w:r w:rsidR="00F72308" w:rsidRPr="00F12A3F">
        <w:t>prevalence</w:t>
      </w:r>
      <w:r w:rsidR="0001503F">
        <w:t xml:space="preserve">, though only modest errors in evaluations of the </w:t>
      </w:r>
      <w:r w:rsidR="00F72308" w:rsidRPr="00F12A3F">
        <w:t>impacts of intervention</w:t>
      </w:r>
      <w:r w:rsidR="0001503F">
        <w:t>s</w:t>
      </w:r>
      <w:r w:rsidR="00F12A3F" w:rsidRPr="00F12A3F">
        <w:t xml:space="preserve">. </w:t>
      </w:r>
      <w:r w:rsidR="00F72308" w:rsidRPr="00F12A3F">
        <w:t xml:space="preserve">Second, for conditions </w:t>
      </w:r>
      <w:r w:rsidR="0001503F">
        <w:t xml:space="preserve">which are </w:t>
      </w:r>
      <w:r w:rsidR="00F72308" w:rsidRPr="00F12A3F">
        <w:t xml:space="preserve">prevalent in old age, </w:t>
      </w:r>
      <w:r w:rsidR="0001503F">
        <w:t xml:space="preserve">the </w:t>
      </w:r>
      <w:r w:rsidR="00F72308" w:rsidRPr="00F12A3F">
        <w:t xml:space="preserve">multistate model </w:t>
      </w:r>
      <w:r w:rsidR="0001503F">
        <w:t xml:space="preserve">captures </w:t>
      </w:r>
      <w:r w:rsidR="000651E5">
        <w:t>the ways in which changes</w:t>
      </w:r>
      <w:r w:rsidR="0001503F">
        <w:t xml:space="preserve"> in</w:t>
      </w:r>
      <w:r w:rsidR="00F72308" w:rsidRPr="00F12A3F">
        <w:t xml:space="preserve"> life expectancy can result in increase</w:t>
      </w:r>
      <w:r w:rsidR="0093522C">
        <w:t>s</w:t>
      </w:r>
      <w:r w:rsidR="00F72308" w:rsidRPr="00F12A3F">
        <w:t xml:space="preserve"> in </w:t>
      </w:r>
      <w:r w:rsidR="0093522C">
        <w:t xml:space="preserve">the </w:t>
      </w:r>
      <w:r w:rsidR="00F72308" w:rsidRPr="00F12A3F">
        <w:t>disease burden at old age</w:t>
      </w:r>
      <w:r w:rsidR="000651E5">
        <w:t xml:space="preserve"> (since there will be a greater number of people alive at these ages)</w:t>
      </w:r>
      <w:r w:rsidR="00F72308" w:rsidRPr="00F12A3F">
        <w:t xml:space="preserve">. </w:t>
      </w:r>
      <w:r w:rsidR="0001503F">
        <w:t>Such subtle effects w</w:t>
      </w:r>
      <w:r w:rsidR="00F72308" w:rsidRPr="00F12A3F">
        <w:t xml:space="preserve">ould not be captured </w:t>
      </w:r>
      <w:r w:rsidR="00C85E78">
        <w:t xml:space="preserve">explicitly </w:t>
      </w:r>
      <w:r w:rsidR="00F72308" w:rsidRPr="00F12A3F">
        <w:t xml:space="preserve">by </w:t>
      </w:r>
      <w:r w:rsidR="00C85E78">
        <w:t>other</w:t>
      </w:r>
      <w:r w:rsidR="00F72308" w:rsidRPr="00F12A3F">
        <w:t xml:space="preserve"> methods</w:t>
      </w:r>
      <w:r w:rsidR="00D86DB2">
        <w:t xml:space="preserve">, such as </w:t>
      </w:r>
      <w:r w:rsidR="00D22C98">
        <w:lastRenderedPageBreak/>
        <w:t xml:space="preserve">the </w:t>
      </w:r>
      <w:r w:rsidR="004F4532">
        <w:t>Comparative Risk Assessment (CRA) method used by the</w:t>
      </w:r>
      <w:r w:rsidR="00D86DB2">
        <w:t xml:space="preserve"> WHO’s GBD </w:t>
      </w:r>
      <w:r w:rsidR="004F4532">
        <w:t>studies</w:t>
      </w:r>
      <w:r w:rsidR="00D22C98">
        <w:t xml:space="preserve"> </w:t>
      </w:r>
      <w:r w:rsidR="00D86DB2">
        <w:t>(</w:t>
      </w:r>
      <w:r w:rsidR="00D22C98">
        <w:t xml:space="preserve">e.g. </w:t>
      </w:r>
      <w:r w:rsidR="00D86DB2">
        <w:t>Lim et al., 2012)</w:t>
      </w:r>
      <w:r w:rsidR="004F4532">
        <w:t xml:space="preserve"> or </w:t>
      </w:r>
      <w:proofErr w:type="spellStart"/>
      <w:r w:rsidR="004F4532">
        <w:t>DisMod</w:t>
      </w:r>
      <w:proofErr w:type="spellEnd"/>
      <w:r w:rsidR="004F4532">
        <w:t xml:space="preserve"> (</w:t>
      </w:r>
      <w:proofErr w:type="spellStart"/>
      <w:r w:rsidR="004F4532">
        <w:t>Barendregt</w:t>
      </w:r>
      <w:proofErr w:type="spellEnd"/>
      <w:r w:rsidR="004F4532">
        <w:t xml:space="preserve"> et al., 2003)</w:t>
      </w:r>
      <w:r w:rsidR="00F72308" w:rsidRPr="00F12A3F">
        <w:t>.</w:t>
      </w:r>
      <w:r w:rsidR="00831AED">
        <w:t xml:space="preserve"> </w:t>
      </w:r>
      <w:r w:rsidR="004F4532" w:rsidRPr="004F4532">
        <w:t xml:space="preserve">Although there are some similarities between our model and </w:t>
      </w:r>
      <w:proofErr w:type="spellStart"/>
      <w:r w:rsidR="004F4532" w:rsidRPr="004F4532">
        <w:t>DisMod</w:t>
      </w:r>
      <w:proofErr w:type="spellEnd"/>
      <w:r w:rsidR="004F4532" w:rsidRPr="004F4532">
        <w:t xml:space="preserve"> at the basic level in terms of population balance between health states, </w:t>
      </w:r>
      <w:proofErr w:type="spellStart"/>
      <w:r w:rsidR="004F4532" w:rsidRPr="004F4532">
        <w:t>DisMod</w:t>
      </w:r>
      <w:proofErr w:type="spellEnd"/>
      <w:r w:rsidR="004F4532" w:rsidRPr="004F4532">
        <w:t xml:space="preserve"> cannot be used easily for health impact assessment</w:t>
      </w:r>
      <w:r w:rsidR="004F4532">
        <w:t>.</w:t>
      </w:r>
      <w:r w:rsidR="004F4532" w:rsidRPr="004F4532">
        <w:t xml:space="preserve"> </w:t>
      </w:r>
      <w:r w:rsidR="00FB4B6F">
        <w:t xml:space="preserve">There are other </w:t>
      </w:r>
      <w:r w:rsidR="00FB4B6F" w:rsidRPr="00FB4B6F">
        <w:t xml:space="preserve">dynamic methods available for assessing the morbidity impacts of </w:t>
      </w:r>
      <w:r w:rsidR="00752D6C">
        <w:t>interventions, primarily microsimulation tools including</w:t>
      </w:r>
      <w:r w:rsidR="00FB4B6F" w:rsidRPr="00FB4B6F">
        <w:t xml:space="preserve"> </w:t>
      </w:r>
      <w:r w:rsidR="005F639B">
        <w:t xml:space="preserve">the </w:t>
      </w:r>
      <w:r w:rsidR="005F639B" w:rsidRPr="005F639B">
        <w:t xml:space="preserve">Dynamic </w:t>
      </w:r>
      <w:proofErr w:type="spellStart"/>
      <w:r w:rsidR="005F639B" w:rsidRPr="005F639B">
        <w:t>Modeling</w:t>
      </w:r>
      <w:proofErr w:type="spellEnd"/>
      <w:r w:rsidR="005F639B" w:rsidRPr="005F639B">
        <w:t xml:space="preserve"> for Health Impact Assessment </w:t>
      </w:r>
      <w:r w:rsidR="005F639B">
        <w:t>(</w:t>
      </w:r>
      <w:r w:rsidR="00D731FB" w:rsidRPr="00FB4B6F">
        <w:t>DYNAMO-HIA</w:t>
      </w:r>
      <w:r w:rsidR="005F639B">
        <w:t>)</w:t>
      </w:r>
      <w:r w:rsidR="0093522C">
        <w:t xml:space="preserve"> model</w:t>
      </w:r>
      <w:r w:rsidR="00FA0515" w:rsidRPr="00FB4B6F">
        <w:t xml:space="preserve"> (</w:t>
      </w:r>
      <w:proofErr w:type="spellStart"/>
      <w:r w:rsidR="00FA0515" w:rsidRPr="00FB4B6F">
        <w:rPr>
          <w:lang w:val="fr-FR"/>
        </w:rPr>
        <w:t>Lhachimi</w:t>
      </w:r>
      <w:proofErr w:type="spellEnd"/>
      <w:r w:rsidR="00FA0515" w:rsidRPr="00FB4B6F">
        <w:rPr>
          <w:lang w:val="fr-FR"/>
        </w:rPr>
        <w:t xml:space="preserve"> et al., 2012</w:t>
      </w:r>
      <w:r w:rsidR="00FB4B6F" w:rsidRPr="00FB4B6F">
        <w:t>)</w:t>
      </w:r>
      <w:r w:rsidR="00B20ED1">
        <w:t xml:space="preserve">, </w:t>
      </w:r>
      <w:r w:rsidR="00FB4B6F" w:rsidRPr="00FB4B6F">
        <w:t xml:space="preserve">the </w:t>
      </w:r>
      <w:r w:rsidR="00FA0515" w:rsidRPr="00FB4B6F">
        <w:t xml:space="preserve">OECD/WHO Chronic Disease Prevention </w:t>
      </w:r>
      <w:r w:rsidR="00752D6C">
        <w:t xml:space="preserve">(CDP) </w:t>
      </w:r>
      <w:r w:rsidR="00752D6C" w:rsidRPr="00752D6C">
        <w:t>m</w:t>
      </w:r>
      <w:r w:rsidR="00FA0515" w:rsidRPr="00752D6C">
        <w:t>odel (</w:t>
      </w:r>
      <w:r w:rsidR="00E46749" w:rsidRPr="00752D6C">
        <w:t xml:space="preserve">e.g. </w:t>
      </w:r>
      <w:proofErr w:type="spellStart"/>
      <w:r w:rsidR="00E46749" w:rsidRPr="00752D6C">
        <w:t>Cecchini</w:t>
      </w:r>
      <w:proofErr w:type="spellEnd"/>
      <w:r w:rsidR="00E46749" w:rsidRPr="00752D6C">
        <w:t xml:space="preserve"> et al., 2010</w:t>
      </w:r>
      <w:r w:rsidR="00FA0515" w:rsidRPr="00752D6C">
        <w:t>)</w:t>
      </w:r>
      <w:r w:rsidR="00B20ED1" w:rsidRPr="00752D6C">
        <w:t xml:space="preserve">, and </w:t>
      </w:r>
      <w:r w:rsidR="00752D6C" w:rsidRPr="00752D6C">
        <w:t xml:space="preserve">the UK </w:t>
      </w:r>
      <w:r w:rsidR="00133342">
        <w:t>Health</w:t>
      </w:r>
      <w:r w:rsidR="00752D6C" w:rsidRPr="00752D6C">
        <w:t xml:space="preserve"> Forum’s Foresight model (McPherson et al., 2012)</w:t>
      </w:r>
      <w:r w:rsidR="00B20ED1" w:rsidRPr="00752D6C">
        <w:t xml:space="preserve">. </w:t>
      </w:r>
      <w:r w:rsidR="004D69F3" w:rsidRPr="00752D6C">
        <w:t>However</w:t>
      </w:r>
      <w:r w:rsidR="004D69F3">
        <w:t xml:space="preserve">, </w:t>
      </w:r>
      <w:r w:rsidR="007C5541">
        <w:t>these are complex models requiring large input data requirements and high</w:t>
      </w:r>
      <w:r w:rsidR="0035726F">
        <w:t xml:space="preserve"> computing resources</w:t>
      </w:r>
      <w:r w:rsidR="007C5541">
        <w:t>.</w:t>
      </w:r>
      <w:r w:rsidR="00A4426C">
        <w:t xml:space="preserve"> Other HIA methods have been developed for specific diseases or determinants of health only, such as the smoking-related Quit </w:t>
      </w:r>
      <w:r w:rsidR="00A4426C" w:rsidRPr="00A4426C">
        <w:t>Benefits Mod</w:t>
      </w:r>
      <w:r w:rsidR="00A4426C">
        <w:t xml:space="preserve">el (Hurley and Matthews, 2007). </w:t>
      </w:r>
      <w:r w:rsidR="001668B6">
        <w:t xml:space="preserve">In comparison, </w:t>
      </w:r>
      <w:r w:rsidR="0051708A">
        <w:t>alongside</w:t>
      </w:r>
      <w:r w:rsidR="002C0744">
        <w:t xml:space="preserve"> the aforementioned benefits related to incorporation of disease recovery, </w:t>
      </w:r>
      <w:r w:rsidR="001668B6">
        <w:t>o</w:t>
      </w:r>
      <w:r w:rsidR="005F639B">
        <w:t xml:space="preserve">ur model </w:t>
      </w:r>
      <w:r w:rsidR="002C0744">
        <w:t xml:space="preserve">also </w:t>
      </w:r>
      <w:r w:rsidR="005F639B">
        <w:t xml:space="preserve">has the </w:t>
      </w:r>
      <w:r w:rsidR="002C0744">
        <w:t>advantages</w:t>
      </w:r>
      <w:r w:rsidR="00B37DE4">
        <w:t xml:space="preserve"> of (relative) simplicity and generality.</w:t>
      </w:r>
    </w:p>
    <w:p w14:paraId="747A9E39" w14:textId="17856CA5" w:rsidR="00553513" w:rsidRDefault="0038640F" w:rsidP="00553513">
      <w:pPr>
        <w:spacing w:line="480" w:lineRule="auto"/>
      </w:pPr>
      <w:r w:rsidRPr="00094632">
        <w:t xml:space="preserve">In its current form the </w:t>
      </w:r>
      <w:r w:rsidR="00AF69D3">
        <w:t xml:space="preserve">multi-state </w:t>
      </w:r>
      <w:r w:rsidRPr="00094632">
        <w:t>model</w:t>
      </w:r>
      <w:r w:rsidR="00767A6F" w:rsidRPr="00094632">
        <w:t xml:space="preserve"> makes certain </w:t>
      </w:r>
      <w:r w:rsidR="005B3256" w:rsidRPr="00094632">
        <w:t xml:space="preserve">simplifying </w:t>
      </w:r>
      <w:r w:rsidR="00767A6F" w:rsidRPr="00094632">
        <w:t xml:space="preserve">assumptions. First, </w:t>
      </w:r>
      <w:r w:rsidR="0005681D">
        <w:t>it</w:t>
      </w:r>
      <w:r w:rsidR="00767A6F" w:rsidRPr="00094632">
        <w:t xml:space="preserve"> assumes that exposure has an impact on the incidence of disease but no</w:t>
      </w:r>
      <w:r w:rsidR="00A5769A" w:rsidRPr="00094632">
        <w:t>t on the course of the disease</w:t>
      </w:r>
      <w:r w:rsidR="00246401" w:rsidRPr="00094632">
        <w:t xml:space="preserve"> and, </w:t>
      </w:r>
      <w:r w:rsidR="005B3256" w:rsidRPr="00094632">
        <w:t>second</w:t>
      </w:r>
      <w:r w:rsidR="00246401" w:rsidRPr="00094632">
        <w:t>,</w:t>
      </w:r>
      <w:r w:rsidR="005B3256" w:rsidRPr="00094632">
        <w:t xml:space="preserve"> that </w:t>
      </w:r>
      <w:r w:rsidR="00A5769A" w:rsidRPr="00094632">
        <w:t>d</w:t>
      </w:r>
      <w:r w:rsidR="00BF24C9" w:rsidRPr="00094632">
        <w:t>isease incidence and mortality are mutually independent.</w:t>
      </w:r>
      <w:r w:rsidR="00A5769A" w:rsidRPr="00094632">
        <w:t xml:space="preserve"> </w:t>
      </w:r>
      <w:r w:rsidR="00A35DDA" w:rsidRPr="00094632">
        <w:t>It also relies on simplifying assumptions about changes over time, which will require further</w:t>
      </w:r>
      <w:r w:rsidR="005B35F5" w:rsidRPr="00094632">
        <w:t xml:space="preserve"> development of methods. </w:t>
      </w:r>
      <w:r w:rsidR="0093522C">
        <w:t>For example, t</w:t>
      </w:r>
      <w:r w:rsidR="008308A6" w:rsidRPr="00094632">
        <w:t xml:space="preserve">he model </w:t>
      </w:r>
      <w:r w:rsidR="00331C95">
        <w:t xml:space="preserve">currently </w:t>
      </w:r>
      <w:r w:rsidR="005B3256" w:rsidRPr="00094632">
        <w:t xml:space="preserve">also </w:t>
      </w:r>
      <w:r w:rsidR="008308A6" w:rsidRPr="00094632">
        <w:t>assumes baseline mortality and morbidity rates remain constant into the future. Although this is unrealistic, previous work has demonstrated that the magnitudes of health impacts estimated using life tables are relatively ins</w:t>
      </w:r>
      <w:r w:rsidR="0028400B">
        <w:t xml:space="preserve">ensitive to the baseline </w:t>
      </w:r>
      <w:r w:rsidR="0028400B" w:rsidRPr="002B3724">
        <w:t>rates</w:t>
      </w:r>
      <w:r w:rsidR="00B830E6">
        <w:t xml:space="preserve"> (Miller and </w:t>
      </w:r>
      <w:r w:rsidR="00B830E6" w:rsidRPr="00A70AF5">
        <w:t>Hurley</w:t>
      </w:r>
      <w:r w:rsidR="00B830E6">
        <w:t>, 2006)</w:t>
      </w:r>
      <w:r w:rsidR="0028400B" w:rsidRPr="002B3724">
        <w:t>.</w:t>
      </w:r>
      <w:r w:rsidR="008308A6" w:rsidRPr="002B3724">
        <w:t xml:space="preserve"> </w:t>
      </w:r>
      <w:r w:rsidR="003F7B43" w:rsidRPr="002B3724">
        <w:t>M</w:t>
      </w:r>
      <w:r w:rsidR="005B35F5" w:rsidRPr="002B3724">
        <w:t>ore</w:t>
      </w:r>
      <w:r w:rsidR="005B35F5" w:rsidRPr="00094632">
        <w:t xml:space="preserve"> realistic disease dynamics</w:t>
      </w:r>
      <w:r w:rsidR="00A35DDA" w:rsidRPr="00094632">
        <w:t xml:space="preserve"> could </w:t>
      </w:r>
      <w:r w:rsidR="003F7B43" w:rsidRPr="00094632">
        <w:t xml:space="preserve">also </w:t>
      </w:r>
      <w:r w:rsidR="00A35DDA" w:rsidRPr="00094632">
        <w:t xml:space="preserve">be </w:t>
      </w:r>
      <w:r w:rsidR="00750F5F">
        <w:t>incorporated</w:t>
      </w:r>
      <w:r w:rsidR="005B35F5" w:rsidRPr="00094632">
        <w:t>, for instance accounting for the gradual changes in risk and health outcomes that result from</w:t>
      </w:r>
      <w:r w:rsidR="00A35DDA" w:rsidRPr="00094632">
        <w:t xml:space="preserve"> </w:t>
      </w:r>
      <w:r w:rsidR="00F17457">
        <w:t xml:space="preserve">the </w:t>
      </w:r>
      <w:r w:rsidR="00750F5F">
        <w:t xml:space="preserve">introduction </w:t>
      </w:r>
      <w:r w:rsidR="00F17457">
        <w:t xml:space="preserve">over time </w:t>
      </w:r>
      <w:r w:rsidR="00750F5F">
        <w:t xml:space="preserve">of housing interventions into the stock and resulting </w:t>
      </w:r>
      <w:r w:rsidR="0028400B">
        <w:t xml:space="preserve">changes in </w:t>
      </w:r>
      <w:r w:rsidR="0028400B" w:rsidRPr="002B3724">
        <w:t>exposure</w:t>
      </w:r>
      <w:r w:rsidR="00B830E6">
        <w:t xml:space="preserve"> (</w:t>
      </w:r>
      <w:proofErr w:type="spellStart"/>
      <w:r w:rsidR="00B830E6">
        <w:t>Ezzati</w:t>
      </w:r>
      <w:proofErr w:type="spellEnd"/>
      <w:r w:rsidR="00B830E6">
        <w:t xml:space="preserve"> and </w:t>
      </w:r>
      <w:r w:rsidR="00B830E6" w:rsidRPr="00A70AF5">
        <w:t>Lopez</w:t>
      </w:r>
      <w:r w:rsidR="00B830E6">
        <w:t>, 2004)</w:t>
      </w:r>
      <w:r w:rsidR="0028400B" w:rsidRPr="002B3724">
        <w:t>.</w:t>
      </w:r>
      <w:r w:rsidR="005B35F5" w:rsidRPr="002B3724">
        <w:t xml:space="preserve"> </w:t>
      </w:r>
      <w:r w:rsidR="002B2F55" w:rsidRPr="002B3724">
        <w:t>Finally</w:t>
      </w:r>
      <w:r w:rsidR="002B2F55" w:rsidRPr="00094632">
        <w:t xml:space="preserve">, the model only allows individuals to exist in one state at a time. </w:t>
      </w:r>
      <w:r w:rsidR="00AB355E" w:rsidRPr="00094632">
        <w:t xml:space="preserve">As such, a further level of realism </w:t>
      </w:r>
      <w:r w:rsidR="008E6EA9" w:rsidRPr="00094632">
        <w:t xml:space="preserve">could </w:t>
      </w:r>
      <w:r w:rsidR="00AB355E" w:rsidRPr="00094632">
        <w:t>be provided by allowing multiple simultaneous diseases</w:t>
      </w:r>
      <w:r w:rsidR="00FC5CCE">
        <w:t xml:space="preserve"> (co-morbidities)</w:t>
      </w:r>
      <w:r w:rsidR="00AB355E" w:rsidRPr="00094632">
        <w:t>.</w:t>
      </w:r>
      <w:r w:rsidR="002B2F55" w:rsidRPr="00094632">
        <w:t xml:space="preserve"> </w:t>
      </w:r>
      <w:r w:rsidR="00A5769A" w:rsidRPr="00094632">
        <w:t xml:space="preserve">However, </w:t>
      </w:r>
      <w:r w:rsidR="00CE4A21" w:rsidRPr="00094632">
        <w:t>as h</w:t>
      </w:r>
      <w:r w:rsidR="0028400B">
        <w:t xml:space="preserve">ighlighted </w:t>
      </w:r>
      <w:r w:rsidR="0093522C">
        <w:t>in previous work</w:t>
      </w:r>
      <w:r w:rsidR="0028400B" w:rsidRPr="002B3724">
        <w:t>,</w:t>
      </w:r>
      <w:r w:rsidR="00CE4A21" w:rsidRPr="002B3724">
        <w:t xml:space="preserve"> </w:t>
      </w:r>
      <w:r w:rsidR="00A5769A" w:rsidRPr="002B3724">
        <w:t>data limitations</w:t>
      </w:r>
      <w:r w:rsidR="00A5769A" w:rsidRPr="00094632">
        <w:t xml:space="preserve"> prov</w:t>
      </w:r>
      <w:r w:rsidR="004A53A3" w:rsidRPr="00094632">
        <w:t xml:space="preserve">ide a significant </w:t>
      </w:r>
      <w:r w:rsidR="00A5769A" w:rsidRPr="00094632">
        <w:t>barrier</w:t>
      </w:r>
      <w:r w:rsidR="00936B46" w:rsidRPr="00094632">
        <w:t xml:space="preserve"> </w:t>
      </w:r>
      <w:r w:rsidR="00694B5B" w:rsidRPr="00094632">
        <w:t xml:space="preserve">to </w:t>
      </w:r>
      <w:r w:rsidR="002B2F55" w:rsidRPr="00094632">
        <w:t xml:space="preserve">the development and </w:t>
      </w:r>
      <w:r w:rsidR="002B2F55" w:rsidRPr="00094632">
        <w:lastRenderedPageBreak/>
        <w:t xml:space="preserve">implementation of </w:t>
      </w:r>
      <w:r w:rsidR="00936B46" w:rsidRPr="00094632">
        <w:t>q</w:t>
      </w:r>
      <w:r w:rsidR="006A7E67" w:rsidRPr="00094632">
        <w:t xml:space="preserve">uantitative </w:t>
      </w:r>
      <w:r w:rsidR="00B40AB2">
        <w:t xml:space="preserve">models of </w:t>
      </w:r>
      <w:r w:rsidR="006A7E67" w:rsidRPr="00337FAC">
        <w:t>health impact</w:t>
      </w:r>
      <w:r w:rsidR="00B830E6" w:rsidRPr="00337FAC">
        <w:t xml:space="preserve"> (</w:t>
      </w:r>
      <w:r w:rsidR="00A07CA1" w:rsidRPr="00337FAC">
        <w:t xml:space="preserve">Milner et al., 2011; </w:t>
      </w:r>
      <w:proofErr w:type="spellStart"/>
      <w:r w:rsidR="00B830E6" w:rsidRPr="00337FAC">
        <w:t>Veerman</w:t>
      </w:r>
      <w:proofErr w:type="spellEnd"/>
      <w:r w:rsidR="00B830E6" w:rsidRPr="00337FAC">
        <w:t xml:space="preserve"> et al., 2005)</w:t>
      </w:r>
      <w:r w:rsidR="00A5769A" w:rsidRPr="00337FAC">
        <w:t>. T</w:t>
      </w:r>
      <w:r w:rsidR="004D5A57" w:rsidRPr="00337FAC">
        <w:t xml:space="preserve">he development of this and similar </w:t>
      </w:r>
      <w:r w:rsidR="00CC167C" w:rsidRPr="00337FAC">
        <w:t>modelling</w:t>
      </w:r>
      <w:r w:rsidR="00CC167C" w:rsidRPr="00094632">
        <w:t xml:space="preserve"> </w:t>
      </w:r>
      <w:r w:rsidR="004D5A57" w:rsidRPr="00094632">
        <w:t xml:space="preserve">tools would benefit </w:t>
      </w:r>
      <w:r w:rsidR="00A33011" w:rsidRPr="00094632">
        <w:t xml:space="preserve">greatly </w:t>
      </w:r>
      <w:r w:rsidR="004D5A57" w:rsidRPr="00094632">
        <w:t>from improved age-spec</w:t>
      </w:r>
      <w:r w:rsidR="00007A7B">
        <w:t xml:space="preserve">ific data on disease prevalence and </w:t>
      </w:r>
      <w:r w:rsidR="004D5A57" w:rsidRPr="00094632">
        <w:t>incidence rates</w:t>
      </w:r>
      <w:r w:rsidR="00007A7B">
        <w:t>,</w:t>
      </w:r>
      <w:r w:rsidR="007660E6">
        <w:t xml:space="preserve"> </w:t>
      </w:r>
      <w:r w:rsidR="00DC6761" w:rsidRPr="00094632">
        <w:t xml:space="preserve">disease duration and </w:t>
      </w:r>
      <w:r w:rsidR="004D5A57" w:rsidRPr="00094632">
        <w:t>recovery/relapse patterns with age.</w:t>
      </w:r>
      <w:r w:rsidR="00CE4A21" w:rsidRPr="00094632">
        <w:t xml:space="preserve"> </w:t>
      </w:r>
      <w:r w:rsidR="00A35DDA" w:rsidRPr="00094632">
        <w:t xml:space="preserve">Often such data are of very limited availability, </w:t>
      </w:r>
      <w:r w:rsidR="00EA439F" w:rsidRPr="00094632">
        <w:t>meaning</w:t>
      </w:r>
      <w:r w:rsidR="00AC3B08" w:rsidRPr="00094632">
        <w:t xml:space="preserve"> </w:t>
      </w:r>
      <w:r w:rsidR="00574044" w:rsidRPr="00094632">
        <w:t xml:space="preserve">plausible patterns must be </w:t>
      </w:r>
      <w:r w:rsidR="00AC3B08" w:rsidRPr="00094632">
        <w:t>derived from incomplete evidence</w:t>
      </w:r>
      <w:r w:rsidR="00574044" w:rsidRPr="00094632">
        <w:t>.</w:t>
      </w:r>
    </w:p>
    <w:p w14:paraId="1F14E60C" w14:textId="77777777" w:rsidR="006B73C3" w:rsidRPr="00553513" w:rsidRDefault="006B73C3" w:rsidP="00553513">
      <w:pPr>
        <w:spacing w:line="480" w:lineRule="auto"/>
      </w:pPr>
      <w:r>
        <w:rPr>
          <w:highlight w:val="yellow"/>
        </w:rPr>
        <w:br w:type="page"/>
      </w:r>
    </w:p>
    <w:p w14:paraId="7FCA1F37" w14:textId="77777777" w:rsidR="00411177" w:rsidRPr="00553513" w:rsidRDefault="00411177" w:rsidP="00553513">
      <w:pPr>
        <w:pStyle w:val="ListParagraph"/>
        <w:numPr>
          <w:ilvl w:val="0"/>
          <w:numId w:val="11"/>
        </w:numPr>
        <w:spacing w:line="480" w:lineRule="auto"/>
        <w:rPr>
          <w:rFonts w:ascii="Calibri" w:eastAsia="Calibri" w:hAnsi="Calibri" w:cs="Times New Roman"/>
          <w:b/>
          <w:sz w:val="28"/>
          <w:szCs w:val="28"/>
        </w:rPr>
      </w:pPr>
      <w:r w:rsidRPr="00553513">
        <w:rPr>
          <w:rFonts w:ascii="Calibri" w:eastAsia="Calibri" w:hAnsi="Calibri" w:cs="Times New Roman"/>
          <w:b/>
          <w:sz w:val="28"/>
          <w:szCs w:val="28"/>
        </w:rPr>
        <w:lastRenderedPageBreak/>
        <w:t>CONCLUSIONS</w:t>
      </w:r>
    </w:p>
    <w:p w14:paraId="081C7E6A" w14:textId="4AC9DA9C" w:rsidR="00713D7F" w:rsidRDefault="00411177" w:rsidP="00412DBB">
      <w:pPr>
        <w:spacing w:line="480" w:lineRule="auto"/>
      </w:pPr>
      <w:r w:rsidRPr="007C5541">
        <w:t>T</w:t>
      </w:r>
      <w:r w:rsidR="008B6033" w:rsidRPr="007C5541">
        <w:t xml:space="preserve">his </w:t>
      </w:r>
      <w:r w:rsidR="00483DB8" w:rsidRPr="007C5541">
        <w:t xml:space="preserve">paper has presented </w:t>
      </w:r>
      <w:r w:rsidR="00556645">
        <w:t xml:space="preserve">a modelling assessment of the benefits for mortality and morbidity of home energy efficiency interventions in </w:t>
      </w:r>
      <w:r w:rsidR="00685A3A">
        <w:t>England and Wales</w:t>
      </w:r>
      <w:r w:rsidR="00F17457">
        <w:t xml:space="preserve"> whose combined effects </w:t>
      </w:r>
      <w:r w:rsidR="00556645">
        <w:t>reduce average indoor PM</w:t>
      </w:r>
      <w:r w:rsidR="00556645" w:rsidRPr="00556645">
        <w:rPr>
          <w:vertAlign w:val="subscript"/>
        </w:rPr>
        <w:t>2.5</w:t>
      </w:r>
      <w:r w:rsidR="00556645">
        <w:t xml:space="preserve"> exposures by 3.0 µg m</w:t>
      </w:r>
      <w:r w:rsidR="00556645" w:rsidRPr="00556645">
        <w:rPr>
          <w:vertAlign w:val="superscript"/>
        </w:rPr>
        <w:t>-3</w:t>
      </w:r>
      <w:r w:rsidR="00556645">
        <w:t xml:space="preserve"> (based on Wilkinson et al., 2009). The analysis was performed using </w:t>
      </w:r>
      <w:r w:rsidR="00483DB8">
        <w:t>a new</w:t>
      </w:r>
      <w:r w:rsidR="00556645">
        <w:t>ly developed</w:t>
      </w:r>
      <w:r w:rsidR="00483DB8">
        <w:t xml:space="preserve"> multi</w:t>
      </w:r>
      <w:r w:rsidR="008B6033" w:rsidRPr="00094632">
        <w:t xml:space="preserve">state life table </w:t>
      </w:r>
      <w:r w:rsidR="00556645">
        <w:t>which</w:t>
      </w:r>
      <w:r w:rsidR="008B6033" w:rsidRPr="00094632">
        <w:t xml:space="preserve"> </w:t>
      </w:r>
      <w:r w:rsidR="00D669A3">
        <w:t xml:space="preserve">is </w:t>
      </w:r>
      <w:r w:rsidR="008B6033" w:rsidRPr="00094632">
        <w:t>capable of accounting for disease recovery</w:t>
      </w:r>
      <w:r w:rsidR="001B7336" w:rsidRPr="00094632">
        <w:t xml:space="preserve"> and relapse</w:t>
      </w:r>
      <w:r w:rsidR="008B6033" w:rsidRPr="00094632">
        <w:t>, providing a</w:t>
      </w:r>
      <w:r w:rsidR="00CE4A21" w:rsidRPr="00094632">
        <w:t xml:space="preserve"> significant</w:t>
      </w:r>
      <w:r w:rsidR="008B6033" w:rsidRPr="00094632">
        <w:t xml:space="preserve"> improvement on similar existing models. </w:t>
      </w:r>
      <w:r w:rsidR="00713D7F">
        <w:t xml:space="preserve">Inclusion of recovery and relapse was demonstrated to result in much better prediction of underlying disease prevalence for </w:t>
      </w:r>
      <w:r w:rsidR="008D226D">
        <w:t xml:space="preserve">certain conditions, particularly </w:t>
      </w:r>
      <w:r w:rsidR="00713D7F">
        <w:t xml:space="preserve">‘transient’ </w:t>
      </w:r>
      <w:r w:rsidR="008D226D">
        <w:t>ones</w:t>
      </w:r>
      <w:r w:rsidR="00713D7F">
        <w:t xml:space="preserve"> which are prevalent in earlier life.</w:t>
      </w:r>
    </w:p>
    <w:p w14:paraId="482A5EAE" w14:textId="77777777" w:rsidR="00FC734C" w:rsidRDefault="008B6033" w:rsidP="00412DBB">
      <w:pPr>
        <w:spacing w:line="480" w:lineRule="auto"/>
      </w:pPr>
      <w:r w:rsidRPr="00094632">
        <w:t xml:space="preserve">Including disease recovery in </w:t>
      </w:r>
      <w:r w:rsidR="00D669A3">
        <w:t xml:space="preserve">health impact </w:t>
      </w:r>
      <w:r w:rsidRPr="00094632">
        <w:t xml:space="preserve">models is an important step towards </w:t>
      </w:r>
      <w:r w:rsidR="00D669A3">
        <w:t>quantifying</w:t>
      </w:r>
      <w:r w:rsidRPr="00094632">
        <w:t xml:space="preserve"> the effects on population health of complex actions and intervent</w:t>
      </w:r>
      <w:r w:rsidR="00D669A3">
        <w:t xml:space="preserve">ions in a comprehensive manner, which </w:t>
      </w:r>
      <w:r w:rsidR="00FC734C" w:rsidRPr="007B0F88">
        <w:t xml:space="preserve">requires </w:t>
      </w:r>
      <w:r w:rsidR="00FC734C">
        <w:t>knowledge of the time course of</w:t>
      </w:r>
      <w:r w:rsidR="00FC734C" w:rsidRPr="007B0F88">
        <w:t xml:space="preserve"> both mortality and morbidity impacts. This, in turn, enables more thorough </w:t>
      </w:r>
      <w:r w:rsidR="00FC734C">
        <w:t xml:space="preserve">policy </w:t>
      </w:r>
      <w:r w:rsidR="00FC734C" w:rsidRPr="007B0F88">
        <w:t>appraisal to be undertaken</w:t>
      </w:r>
      <w:r w:rsidR="00FC734C">
        <w:t xml:space="preserve">, </w:t>
      </w:r>
      <w:r w:rsidR="00713D7F">
        <w:t>including analyses of the effects of targeting policies at specific groups and identification of unintended adverse consequences within the population (for example, based on</w:t>
      </w:r>
      <w:r w:rsidR="0093522C">
        <w:t xml:space="preserve"> their</w:t>
      </w:r>
      <w:r w:rsidR="00713D7F">
        <w:t xml:space="preserve"> age or underlying health status). </w:t>
      </w:r>
      <w:r w:rsidR="00FC734C" w:rsidRPr="00094632">
        <w:t xml:space="preserve">Such refinement in health impact modelling is particularly relevant for ageing populations, with the increased prevalence of many chronic conditions and the shifting of the disease burden to older ages likely to have major repercussions for the cost of health care in the </w:t>
      </w:r>
      <w:r w:rsidR="00FC734C" w:rsidRPr="002B3724">
        <w:t>future</w:t>
      </w:r>
      <w:r w:rsidR="00FC734C">
        <w:t xml:space="preserve"> (Caley and </w:t>
      </w:r>
      <w:r w:rsidR="00FC734C" w:rsidRPr="00A70AF5">
        <w:t>Sidhu</w:t>
      </w:r>
      <w:r w:rsidR="00FC734C">
        <w:t xml:space="preserve">, 2011; </w:t>
      </w:r>
      <w:r w:rsidR="00FC734C" w:rsidRPr="00A70AF5">
        <w:t>Christensen</w:t>
      </w:r>
      <w:r w:rsidR="00FC734C">
        <w:t xml:space="preserve"> et al., 2009).</w:t>
      </w:r>
    </w:p>
    <w:p w14:paraId="1C7F1F91" w14:textId="77777777" w:rsidR="000D269A" w:rsidRDefault="000D269A" w:rsidP="00412DBB">
      <w:pPr>
        <w:spacing w:line="480" w:lineRule="auto"/>
        <w:rPr>
          <w:rFonts w:ascii="Calibri" w:eastAsia="Calibri" w:hAnsi="Calibri" w:cs="Times New Roman"/>
        </w:rPr>
      </w:pPr>
      <w:r>
        <w:rPr>
          <w:rFonts w:ascii="Calibri" w:eastAsia="Calibri" w:hAnsi="Calibri" w:cs="Times New Roman"/>
        </w:rPr>
        <w:br w:type="page"/>
      </w:r>
    </w:p>
    <w:p w14:paraId="53EAB5CC" w14:textId="77777777" w:rsidR="009B7BAC" w:rsidRPr="00710182" w:rsidRDefault="0067075D" w:rsidP="00412DBB">
      <w:pPr>
        <w:spacing w:line="480" w:lineRule="auto"/>
        <w:rPr>
          <w:b/>
          <w:sz w:val="24"/>
          <w:szCs w:val="24"/>
        </w:rPr>
      </w:pPr>
      <w:r w:rsidRPr="00710182">
        <w:rPr>
          <w:b/>
          <w:sz w:val="24"/>
          <w:szCs w:val="24"/>
        </w:rPr>
        <w:lastRenderedPageBreak/>
        <w:t>Acknowledgements</w:t>
      </w:r>
    </w:p>
    <w:p w14:paraId="6E4D2ED2" w14:textId="77777777" w:rsidR="00BF2F87" w:rsidRDefault="004705E8" w:rsidP="00412DBB">
      <w:pPr>
        <w:spacing w:line="480" w:lineRule="auto"/>
      </w:pPr>
      <w:r w:rsidRPr="00094632">
        <w:t xml:space="preserve">This </w:t>
      </w:r>
      <w:r w:rsidR="003C0168">
        <w:t>work, including development of the health impact model, was conducted</w:t>
      </w:r>
      <w:r w:rsidRPr="00094632">
        <w:t xml:space="preserve"> as part of the project “Pollutants in the Urban Environment: An Integrated Framework for Improving Sustainability of the Indoor Environment (</w:t>
      </w:r>
      <w:proofErr w:type="spellStart"/>
      <w:r w:rsidRPr="00094632">
        <w:t>PUrE</w:t>
      </w:r>
      <w:proofErr w:type="spellEnd"/>
      <w:r w:rsidRPr="00094632">
        <w:t xml:space="preserve"> </w:t>
      </w:r>
      <w:proofErr w:type="spellStart"/>
      <w:r w:rsidRPr="00094632">
        <w:t>Intrawise</w:t>
      </w:r>
      <w:proofErr w:type="spellEnd"/>
      <w:r w:rsidRPr="00094632">
        <w:t>)”, funded by EPSRC (Grant no. EP/F007132/1). The authors gratefully acknowledge this funding and the support of other project partners.</w:t>
      </w:r>
      <w:r>
        <w:t xml:space="preserve"> </w:t>
      </w:r>
      <w:r w:rsidRPr="00094632">
        <w:t>The research leading to these results has also in part received funding from the European Union Seventh Framework Programme FP7/2007-2013 under grant agreement no 265325 (“PURGE”).</w:t>
      </w:r>
    </w:p>
    <w:p w14:paraId="220A14B8" w14:textId="77777777" w:rsidR="00502F54" w:rsidRDefault="00502F54" w:rsidP="00412DBB">
      <w:pPr>
        <w:rPr>
          <w:b/>
        </w:rPr>
      </w:pPr>
      <w:r>
        <w:rPr>
          <w:b/>
        </w:rPr>
        <w:br w:type="page"/>
      </w:r>
    </w:p>
    <w:p w14:paraId="77C99601" w14:textId="77777777" w:rsidR="00CE4A21" w:rsidRPr="00710182" w:rsidRDefault="002C1F3D" w:rsidP="00412DBB">
      <w:pPr>
        <w:spacing w:line="240" w:lineRule="auto"/>
        <w:rPr>
          <w:b/>
          <w:sz w:val="28"/>
          <w:szCs w:val="28"/>
        </w:rPr>
      </w:pPr>
      <w:r w:rsidRPr="00710182">
        <w:rPr>
          <w:b/>
          <w:sz w:val="28"/>
          <w:szCs w:val="28"/>
        </w:rPr>
        <w:lastRenderedPageBreak/>
        <w:t>REFERENCES</w:t>
      </w:r>
    </w:p>
    <w:p w14:paraId="0B8CA94A" w14:textId="77777777" w:rsidR="004D2B30" w:rsidRDefault="004D2B30" w:rsidP="00412DBB">
      <w:pPr>
        <w:pStyle w:val="ListParagraph"/>
        <w:numPr>
          <w:ilvl w:val="0"/>
          <w:numId w:val="5"/>
        </w:numPr>
        <w:spacing w:line="240" w:lineRule="auto"/>
      </w:pPr>
      <w:proofErr w:type="spellStart"/>
      <w:r w:rsidRPr="007B0F88">
        <w:t>Ballester</w:t>
      </w:r>
      <w:proofErr w:type="spellEnd"/>
      <w:r w:rsidRPr="007B0F88">
        <w:t xml:space="preserve"> F, Medina S, </w:t>
      </w:r>
      <w:proofErr w:type="spellStart"/>
      <w:r w:rsidRPr="007B0F88">
        <w:t>Boldo</w:t>
      </w:r>
      <w:proofErr w:type="spellEnd"/>
      <w:r w:rsidRPr="007B0F88">
        <w:t xml:space="preserve"> E, et al.</w:t>
      </w:r>
      <w:r w:rsidR="00D14273">
        <w:t>,</w:t>
      </w:r>
      <w:r w:rsidRPr="007B0F88">
        <w:t xml:space="preserve"> </w:t>
      </w:r>
      <w:r>
        <w:t xml:space="preserve">2008. </w:t>
      </w:r>
      <w:r w:rsidRPr="007B0F88">
        <w:t xml:space="preserve">Reducing ambient levels of fine particulates could substantially improve health: a mortality impact assessment for 26 European cities. </w:t>
      </w:r>
      <w:r w:rsidRPr="004F3614">
        <w:rPr>
          <w:i/>
        </w:rPr>
        <w:t xml:space="preserve">J </w:t>
      </w:r>
      <w:proofErr w:type="spellStart"/>
      <w:r w:rsidRPr="004F3614">
        <w:rPr>
          <w:i/>
        </w:rPr>
        <w:t>Epidemiol</w:t>
      </w:r>
      <w:proofErr w:type="spellEnd"/>
      <w:r w:rsidRPr="004F3614">
        <w:rPr>
          <w:i/>
        </w:rPr>
        <w:t xml:space="preserve"> Community </w:t>
      </w:r>
      <w:r w:rsidR="004F3614" w:rsidRPr="004F3614">
        <w:rPr>
          <w:i/>
        </w:rPr>
        <w:t>Health</w:t>
      </w:r>
      <w:r w:rsidRPr="004D2B30">
        <w:t xml:space="preserve"> </w:t>
      </w:r>
      <w:r w:rsidRPr="004F3614">
        <w:rPr>
          <w:b/>
        </w:rPr>
        <w:t>62</w:t>
      </w:r>
      <w:r w:rsidRPr="004D2B30">
        <w:t>, 98</w:t>
      </w:r>
      <w:r w:rsidRPr="004D2B30">
        <w:rPr>
          <w:rFonts w:cstheme="minorHAnsi"/>
        </w:rPr>
        <w:t>‒</w:t>
      </w:r>
      <w:r w:rsidRPr="004D2B30">
        <w:t>105</w:t>
      </w:r>
      <w:r w:rsidRPr="007B0F88">
        <w:t>.</w:t>
      </w:r>
    </w:p>
    <w:p w14:paraId="2E47385A" w14:textId="77777777" w:rsidR="004D2B30" w:rsidRDefault="004D2B30" w:rsidP="00412DBB">
      <w:pPr>
        <w:pStyle w:val="ListParagraph"/>
        <w:numPr>
          <w:ilvl w:val="0"/>
          <w:numId w:val="5"/>
        </w:numPr>
        <w:spacing w:line="240" w:lineRule="auto"/>
      </w:pPr>
      <w:proofErr w:type="spellStart"/>
      <w:r w:rsidRPr="00D14273">
        <w:rPr>
          <w:lang w:val="es-ES"/>
        </w:rPr>
        <w:t>Barendregt</w:t>
      </w:r>
      <w:proofErr w:type="spellEnd"/>
      <w:r w:rsidRPr="00D14273">
        <w:rPr>
          <w:lang w:val="es-ES"/>
        </w:rPr>
        <w:t xml:space="preserve"> JJ, Van </w:t>
      </w:r>
      <w:proofErr w:type="spellStart"/>
      <w:r w:rsidRPr="00D14273">
        <w:rPr>
          <w:lang w:val="es-ES"/>
        </w:rPr>
        <w:t>Oortmarssen</w:t>
      </w:r>
      <w:proofErr w:type="spellEnd"/>
      <w:r w:rsidRPr="00D14273">
        <w:rPr>
          <w:lang w:val="es-ES"/>
        </w:rPr>
        <w:t xml:space="preserve"> GJ, Van </w:t>
      </w:r>
      <w:proofErr w:type="spellStart"/>
      <w:r w:rsidRPr="00D14273">
        <w:rPr>
          <w:lang w:val="es-ES"/>
        </w:rPr>
        <w:t>Hout</w:t>
      </w:r>
      <w:proofErr w:type="spellEnd"/>
      <w:r w:rsidRPr="00D14273">
        <w:rPr>
          <w:lang w:val="es-ES"/>
        </w:rPr>
        <w:t xml:space="preserve"> BA, et al.</w:t>
      </w:r>
      <w:r w:rsidR="00D14273">
        <w:rPr>
          <w:lang w:val="es-ES"/>
        </w:rPr>
        <w:t>,</w:t>
      </w:r>
      <w:r w:rsidRPr="00D14273">
        <w:rPr>
          <w:lang w:val="es-ES"/>
        </w:rPr>
        <w:t xml:space="preserve"> </w:t>
      </w:r>
      <w:r w:rsidR="00D14273" w:rsidRPr="00D14273">
        <w:rPr>
          <w:lang w:val="es-ES"/>
        </w:rPr>
        <w:t xml:space="preserve">1998. </w:t>
      </w:r>
      <w:r w:rsidRPr="00D14273">
        <w:t xml:space="preserve">Coping with multiple morbidity in a life table. </w:t>
      </w:r>
      <w:r w:rsidRPr="004F3614">
        <w:rPr>
          <w:i/>
        </w:rPr>
        <w:t xml:space="preserve">Math </w:t>
      </w:r>
      <w:proofErr w:type="spellStart"/>
      <w:r w:rsidRPr="004F3614">
        <w:rPr>
          <w:i/>
        </w:rPr>
        <w:t>Popul</w:t>
      </w:r>
      <w:proofErr w:type="spellEnd"/>
      <w:r w:rsidRPr="004F3614">
        <w:rPr>
          <w:i/>
        </w:rPr>
        <w:t xml:space="preserve"> Stud</w:t>
      </w:r>
      <w:r w:rsidRPr="00D14273">
        <w:t xml:space="preserve"> </w:t>
      </w:r>
      <w:r w:rsidRPr="004F3614">
        <w:rPr>
          <w:b/>
        </w:rPr>
        <w:t>7</w:t>
      </w:r>
      <w:r w:rsidR="00D14273" w:rsidRPr="00D14273">
        <w:t xml:space="preserve">, </w:t>
      </w:r>
      <w:r w:rsidRPr="00D14273">
        <w:t>29</w:t>
      </w:r>
      <w:r w:rsidRPr="00D14273">
        <w:rPr>
          <w:rFonts w:cstheme="minorHAnsi"/>
        </w:rPr>
        <w:t>‒</w:t>
      </w:r>
      <w:r w:rsidRPr="00D14273">
        <w:t>49.</w:t>
      </w:r>
    </w:p>
    <w:p w14:paraId="29499D58" w14:textId="34B32668" w:rsidR="00C85E78" w:rsidRDefault="00C85E78" w:rsidP="00412DBB">
      <w:pPr>
        <w:pStyle w:val="ListParagraph"/>
        <w:numPr>
          <w:ilvl w:val="0"/>
          <w:numId w:val="5"/>
        </w:numPr>
        <w:spacing w:line="240" w:lineRule="auto"/>
      </w:pPr>
      <w:proofErr w:type="spellStart"/>
      <w:r>
        <w:t>Barendregt</w:t>
      </w:r>
      <w:proofErr w:type="spellEnd"/>
      <w:r>
        <w:t xml:space="preserve"> JJ, Van </w:t>
      </w:r>
      <w:proofErr w:type="spellStart"/>
      <w:r>
        <w:t>Oortmarssen</w:t>
      </w:r>
      <w:proofErr w:type="spellEnd"/>
      <w:r>
        <w:t xml:space="preserve"> GJ, </w:t>
      </w:r>
      <w:proofErr w:type="spellStart"/>
      <w:r>
        <w:t>Vos</w:t>
      </w:r>
      <w:proofErr w:type="spellEnd"/>
      <w:r>
        <w:t xml:space="preserve"> T, et al., 2003. A generic model for the assessment of disease epidemiology: the computational basis of </w:t>
      </w:r>
      <w:proofErr w:type="spellStart"/>
      <w:r>
        <w:t>DisMod</w:t>
      </w:r>
      <w:proofErr w:type="spellEnd"/>
      <w:r>
        <w:t xml:space="preserve"> II. </w:t>
      </w:r>
      <w:proofErr w:type="spellStart"/>
      <w:r w:rsidRPr="00C85E78">
        <w:rPr>
          <w:i/>
          <w:u w:val="single"/>
        </w:rPr>
        <w:t>Popul</w:t>
      </w:r>
      <w:proofErr w:type="spellEnd"/>
      <w:r w:rsidRPr="00C85E78">
        <w:rPr>
          <w:i/>
          <w:u w:val="single"/>
        </w:rPr>
        <w:t xml:space="preserve"> Health </w:t>
      </w:r>
      <w:proofErr w:type="spellStart"/>
      <w:r w:rsidRPr="00C85E78">
        <w:rPr>
          <w:i/>
          <w:u w:val="single"/>
        </w:rPr>
        <w:t>Metr</w:t>
      </w:r>
      <w:proofErr w:type="spellEnd"/>
      <w:r>
        <w:t xml:space="preserve"> </w:t>
      </w:r>
      <w:r w:rsidRPr="00C85E78">
        <w:rPr>
          <w:b/>
        </w:rPr>
        <w:t>1</w:t>
      </w:r>
      <w:r>
        <w:t>, 4.</w:t>
      </w:r>
    </w:p>
    <w:p w14:paraId="7D499E92" w14:textId="77777777" w:rsidR="002F027E" w:rsidRDefault="004F3614" w:rsidP="00412DBB">
      <w:pPr>
        <w:pStyle w:val="ListParagraph"/>
        <w:numPr>
          <w:ilvl w:val="0"/>
          <w:numId w:val="5"/>
        </w:numPr>
        <w:spacing w:line="240" w:lineRule="auto"/>
      </w:pPr>
      <w:r>
        <w:t xml:space="preserve">Belanger K, Gent JF, </w:t>
      </w:r>
      <w:proofErr w:type="spellStart"/>
      <w:r>
        <w:t>Triche</w:t>
      </w:r>
      <w:proofErr w:type="spellEnd"/>
      <w:r>
        <w:t xml:space="preserve"> EW</w:t>
      </w:r>
      <w:r w:rsidR="002F027E" w:rsidRPr="002F027E">
        <w:t xml:space="preserve">, </w:t>
      </w:r>
      <w:r w:rsidR="002F027E">
        <w:t>et al., 2006</w:t>
      </w:r>
      <w:r w:rsidR="002F027E" w:rsidRPr="002F027E">
        <w:t>. Association of indoor nitrogen dioxide exposure with respiratory sympt</w:t>
      </w:r>
      <w:r>
        <w:t xml:space="preserve">oms in children with asthma. </w:t>
      </w:r>
      <w:r w:rsidRPr="004F3614">
        <w:rPr>
          <w:i/>
        </w:rPr>
        <w:t xml:space="preserve">Am J </w:t>
      </w:r>
      <w:proofErr w:type="spellStart"/>
      <w:r w:rsidRPr="004F3614">
        <w:rPr>
          <w:i/>
        </w:rPr>
        <w:t>Respir</w:t>
      </w:r>
      <w:proofErr w:type="spellEnd"/>
      <w:r w:rsidRPr="004F3614">
        <w:rPr>
          <w:i/>
        </w:rPr>
        <w:t xml:space="preserve"> </w:t>
      </w:r>
      <w:proofErr w:type="spellStart"/>
      <w:r w:rsidRPr="004F3614">
        <w:rPr>
          <w:i/>
        </w:rPr>
        <w:t>Crit</w:t>
      </w:r>
      <w:proofErr w:type="spellEnd"/>
      <w:r w:rsidRPr="004F3614">
        <w:rPr>
          <w:i/>
        </w:rPr>
        <w:t xml:space="preserve"> Care Med</w:t>
      </w:r>
      <w:r w:rsidR="002F027E" w:rsidRPr="002F027E">
        <w:t xml:space="preserve"> </w:t>
      </w:r>
      <w:r w:rsidR="002F027E" w:rsidRPr="004F3614">
        <w:rPr>
          <w:b/>
        </w:rPr>
        <w:t>173</w:t>
      </w:r>
      <w:r w:rsidR="002F027E" w:rsidRPr="002F027E">
        <w:t>, 297</w:t>
      </w:r>
      <w:r w:rsidR="002F027E" w:rsidRPr="00B87D97">
        <w:rPr>
          <w:rFonts w:cstheme="minorHAnsi"/>
        </w:rPr>
        <w:t>‒</w:t>
      </w:r>
      <w:proofErr w:type="gramStart"/>
      <w:r w:rsidR="002F027E" w:rsidRPr="002F027E">
        <w:t>303.</w:t>
      </w:r>
      <w:proofErr w:type="gramEnd"/>
    </w:p>
    <w:p w14:paraId="44205E94" w14:textId="6114C1C9" w:rsidR="005072BE" w:rsidRPr="00D14273" w:rsidRDefault="005072BE" w:rsidP="005072BE">
      <w:pPr>
        <w:pStyle w:val="ListParagraph"/>
        <w:numPr>
          <w:ilvl w:val="0"/>
          <w:numId w:val="5"/>
        </w:numPr>
        <w:spacing w:line="240" w:lineRule="auto"/>
      </w:pPr>
      <w:r>
        <w:t xml:space="preserve">Bradford Hill A, 1977. </w:t>
      </w:r>
      <w:r w:rsidRPr="005072BE">
        <w:rPr>
          <w:i/>
        </w:rPr>
        <w:t>A Short Textbook of Medical Statistics</w:t>
      </w:r>
      <w:r>
        <w:t xml:space="preserve">. </w:t>
      </w:r>
      <w:r w:rsidRPr="005072BE">
        <w:t>Hodder &amp; Stoughton Ltd, London</w:t>
      </w:r>
      <w:r w:rsidR="00E823BA">
        <w:t>, UK</w:t>
      </w:r>
      <w:r>
        <w:t>.</w:t>
      </w:r>
    </w:p>
    <w:p w14:paraId="0C554AFE" w14:textId="77777777" w:rsidR="004D2B30" w:rsidRPr="00B87D97" w:rsidRDefault="004D2B30" w:rsidP="00412DBB">
      <w:pPr>
        <w:pStyle w:val="ListParagraph"/>
        <w:numPr>
          <w:ilvl w:val="0"/>
          <w:numId w:val="5"/>
        </w:numPr>
        <w:spacing w:line="240" w:lineRule="auto"/>
      </w:pPr>
      <w:r w:rsidRPr="00A70AF5">
        <w:t>Caley M, Sidhu</w:t>
      </w:r>
      <w:r w:rsidR="005601A3">
        <w:t xml:space="preserve"> K</w:t>
      </w:r>
      <w:r w:rsidR="00D14273">
        <w:t>, 2011.</w:t>
      </w:r>
      <w:r w:rsidRPr="00A70AF5">
        <w:t xml:space="preserve"> Estimating the future healthcare costs of an aging population in </w:t>
      </w:r>
      <w:r w:rsidRPr="00B87D97">
        <w:t xml:space="preserve">the UK: expansion of morbidity and the need for preventative care. </w:t>
      </w:r>
      <w:r w:rsidRPr="005601A3">
        <w:rPr>
          <w:i/>
        </w:rPr>
        <w:t>J Public Health</w:t>
      </w:r>
      <w:r w:rsidRPr="00B87D97">
        <w:t xml:space="preserve"> </w:t>
      </w:r>
      <w:r w:rsidRPr="005601A3">
        <w:rPr>
          <w:b/>
        </w:rPr>
        <w:t>33</w:t>
      </w:r>
      <w:r w:rsidR="00D14273" w:rsidRPr="00B87D97">
        <w:t xml:space="preserve">, </w:t>
      </w:r>
      <w:r w:rsidRPr="00B87D97">
        <w:t>117</w:t>
      </w:r>
      <w:r w:rsidRPr="00B87D97">
        <w:rPr>
          <w:rFonts w:cstheme="minorHAnsi"/>
        </w:rPr>
        <w:t>‒</w:t>
      </w:r>
      <w:r w:rsidRPr="00B87D97">
        <w:t>22.</w:t>
      </w:r>
    </w:p>
    <w:p w14:paraId="3F2AA0CE" w14:textId="77777777" w:rsidR="00E46749" w:rsidRPr="00B87D97" w:rsidRDefault="005601A3" w:rsidP="00412DBB">
      <w:pPr>
        <w:pStyle w:val="ListParagraph"/>
        <w:numPr>
          <w:ilvl w:val="0"/>
          <w:numId w:val="5"/>
        </w:numPr>
        <w:spacing w:line="240" w:lineRule="auto"/>
      </w:pPr>
      <w:proofErr w:type="spellStart"/>
      <w:r>
        <w:t>Cecchini</w:t>
      </w:r>
      <w:proofErr w:type="spellEnd"/>
      <w:r>
        <w:t xml:space="preserve"> M, </w:t>
      </w:r>
      <w:proofErr w:type="spellStart"/>
      <w:r>
        <w:t>Sassi</w:t>
      </w:r>
      <w:proofErr w:type="spellEnd"/>
      <w:r>
        <w:t xml:space="preserve"> F, Lauer JA</w:t>
      </w:r>
      <w:r w:rsidR="00B82734" w:rsidRPr="00B87D97">
        <w:t>, et al., 2010.</w:t>
      </w:r>
      <w:r w:rsidR="00E46749" w:rsidRPr="00B87D97">
        <w:t xml:space="preserve"> </w:t>
      </w:r>
      <w:r w:rsidR="00B82734" w:rsidRPr="00B87D97">
        <w:t xml:space="preserve">Tackling of unhealthy diets, physical inactivity, and obesity: health effects and cost-effectiveness. </w:t>
      </w:r>
      <w:r w:rsidR="00B82734" w:rsidRPr="005601A3">
        <w:rPr>
          <w:i/>
        </w:rPr>
        <w:t>Lancet</w:t>
      </w:r>
      <w:r w:rsidR="00B82734" w:rsidRPr="00B87D97">
        <w:t xml:space="preserve"> </w:t>
      </w:r>
      <w:r w:rsidR="00B82734" w:rsidRPr="005601A3">
        <w:rPr>
          <w:b/>
        </w:rPr>
        <w:t>376</w:t>
      </w:r>
      <w:r w:rsidR="00B82734" w:rsidRPr="00B87D97">
        <w:t>, 1775</w:t>
      </w:r>
      <w:r w:rsidR="00B82734" w:rsidRPr="00B87D97">
        <w:rPr>
          <w:rFonts w:cstheme="minorHAnsi"/>
        </w:rPr>
        <w:t>‒</w:t>
      </w:r>
      <w:r w:rsidR="00B82734" w:rsidRPr="00B87D97">
        <w:t>84.</w:t>
      </w:r>
    </w:p>
    <w:p w14:paraId="6167D0F5" w14:textId="77777777" w:rsidR="004D2B30" w:rsidRPr="00A70AF5" w:rsidRDefault="004D2B30" w:rsidP="00412DBB">
      <w:pPr>
        <w:pStyle w:val="ListParagraph"/>
        <w:numPr>
          <w:ilvl w:val="0"/>
          <w:numId w:val="5"/>
        </w:numPr>
        <w:spacing w:line="240" w:lineRule="auto"/>
      </w:pPr>
      <w:r w:rsidRPr="00A70AF5">
        <w:t xml:space="preserve">Christensen K, </w:t>
      </w:r>
      <w:proofErr w:type="spellStart"/>
      <w:r w:rsidRPr="00A70AF5">
        <w:t>Doblhammer</w:t>
      </w:r>
      <w:proofErr w:type="spellEnd"/>
      <w:r w:rsidRPr="00A70AF5">
        <w:t xml:space="preserve"> G, Rau R, </w:t>
      </w:r>
      <w:proofErr w:type="spellStart"/>
      <w:r w:rsidRPr="00A70AF5">
        <w:t>Vaupel</w:t>
      </w:r>
      <w:proofErr w:type="spellEnd"/>
      <w:r w:rsidRPr="00A70AF5">
        <w:t xml:space="preserve"> J</w:t>
      </w:r>
      <w:r w:rsidR="005601A3">
        <w:t>W</w:t>
      </w:r>
      <w:r w:rsidR="00D14273">
        <w:t>, 2009.</w:t>
      </w:r>
      <w:r w:rsidRPr="00A70AF5">
        <w:t xml:space="preserve"> Ageing populations: th</w:t>
      </w:r>
      <w:r w:rsidR="00D14273">
        <w:t xml:space="preserve">e challenges ahead. </w:t>
      </w:r>
      <w:r w:rsidR="00D14273" w:rsidRPr="005601A3">
        <w:rPr>
          <w:i/>
        </w:rPr>
        <w:t>Lancet</w:t>
      </w:r>
      <w:r w:rsidR="00D14273" w:rsidRPr="00D14273">
        <w:t xml:space="preserve"> </w:t>
      </w:r>
      <w:r w:rsidRPr="005601A3">
        <w:rPr>
          <w:b/>
        </w:rPr>
        <w:t>374</w:t>
      </w:r>
      <w:r w:rsidR="00D14273" w:rsidRPr="00D14273">
        <w:t xml:space="preserve">, </w:t>
      </w:r>
      <w:r w:rsidRPr="00D14273">
        <w:t>1196</w:t>
      </w:r>
      <w:r w:rsidRPr="00A70AF5">
        <w:rPr>
          <w:rFonts w:cstheme="minorHAnsi"/>
        </w:rPr>
        <w:t>‒</w:t>
      </w:r>
      <w:r w:rsidR="00D14273">
        <w:rPr>
          <w:rFonts w:cstheme="minorHAnsi"/>
        </w:rPr>
        <w:t>1</w:t>
      </w:r>
      <w:r w:rsidRPr="00A70AF5">
        <w:t>208.</w:t>
      </w:r>
    </w:p>
    <w:p w14:paraId="66C823D7" w14:textId="77777777" w:rsidR="004D2B30" w:rsidRPr="00A70AF5" w:rsidRDefault="004D2B30" w:rsidP="00412DBB">
      <w:pPr>
        <w:pStyle w:val="ListParagraph"/>
        <w:numPr>
          <w:ilvl w:val="0"/>
          <w:numId w:val="5"/>
        </w:numPr>
        <w:spacing w:line="240" w:lineRule="auto"/>
      </w:pPr>
      <w:r w:rsidRPr="00A70AF5">
        <w:t>COMEAP</w:t>
      </w:r>
      <w:r w:rsidR="00773F10">
        <w:t>, 2009</w:t>
      </w:r>
      <w:r w:rsidRPr="00A70AF5">
        <w:t xml:space="preserve">. </w:t>
      </w:r>
      <w:r w:rsidRPr="005601A3">
        <w:rPr>
          <w:i/>
        </w:rPr>
        <w:t>Long-Term Exposure to Air Pollution: Effect on Mortality</w:t>
      </w:r>
      <w:r w:rsidRPr="00A70AF5">
        <w:t>. Committee on the Medical Effects of Air Pollutants</w:t>
      </w:r>
      <w:r w:rsidR="00773F10">
        <w:t>, Chilton</w:t>
      </w:r>
      <w:r w:rsidR="005601A3">
        <w:t>, UK</w:t>
      </w:r>
      <w:r w:rsidRPr="00A70AF5">
        <w:t>.</w:t>
      </w:r>
    </w:p>
    <w:p w14:paraId="2713CAF8" w14:textId="77777777" w:rsidR="004D2B30" w:rsidRDefault="004D2B30" w:rsidP="00412DBB">
      <w:pPr>
        <w:pStyle w:val="ListParagraph"/>
        <w:numPr>
          <w:ilvl w:val="0"/>
          <w:numId w:val="5"/>
        </w:numPr>
        <w:spacing w:line="240" w:lineRule="auto"/>
      </w:pPr>
      <w:r w:rsidRPr="00A70AF5">
        <w:t>COMEAP</w:t>
      </w:r>
      <w:r w:rsidR="00773F10">
        <w:t>, 2010</w:t>
      </w:r>
      <w:r w:rsidRPr="00A70AF5">
        <w:t xml:space="preserve">. </w:t>
      </w:r>
      <w:r w:rsidRPr="005601A3">
        <w:rPr>
          <w:i/>
        </w:rPr>
        <w:t>The Mortality Effects of Long-Term Exposure to Particulate Air Pollution in the United Kingdom</w:t>
      </w:r>
      <w:r w:rsidRPr="00A70AF5">
        <w:t>. Committee on the Medica</w:t>
      </w:r>
      <w:r w:rsidR="00773F10">
        <w:t>l Effects of Air Pollutants, Chilton</w:t>
      </w:r>
      <w:r w:rsidR="005601A3">
        <w:t>, UK</w:t>
      </w:r>
      <w:r w:rsidRPr="00A70AF5">
        <w:t>.</w:t>
      </w:r>
    </w:p>
    <w:p w14:paraId="3D5E5A18" w14:textId="77777777" w:rsidR="004D2B30" w:rsidRPr="00A70AF5" w:rsidRDefault="004D2B30" w:rsidP="00412DBB">
      <w:pPr>
        <w:pStyle w:val="ListParagraph"/>
        <w:numPr>
          <w:ilvl w:val="0"/>
          <w:numId w:val="5"/>
        </w:numPr>
        <w:spacing w:line="240" w:lineRule="auto"/>
      </w:pPr>
      <w:proofErr w:type="spellStart"/>
      <w:r w:rsidRPr="00A70AF5">
        <w:t>Ezzati</w:t>
      </w:r>
      <w:proofErr w:type="spellEnd"/>
      <w:r w:rsidRPr="00A70AF5">
        <w:t xml:space="preserve"> M, Lopez A</w:t>
      </w:r>
      <w:r w:rsidR="00763672">
        <w:t>D</w:t>
      </w:r>
      <w:r w:rsidR="009A0949">
        <w:t>, 200</w:t>
      </w:r>
      <w:r w:rsidR="00763672">
        <w:t>4. Smoking and oral tobacco use. In</w:t>
      </w:r>
      <w:r w:rsidRPr="00A70AF5">
        <w:t xml:space="preserve">: </w:t>
      </w:r>
      <w:proofErr w:type="spellStart"/>
      <w:r w:rsidRPr="00A70AF5">
        <w:t>Ezzati</w:t>
      </w:r>
      <w:proofErr w:type="spellEnd"/>
      <w:r w:rsidRPr="00A70AF5">
        <w:t xml:space="preserve"> M, Lopez AD, Rodgers A, et al</w:t>
      </w:r>
      <w:r w:rsidR="009A0949">
        <w:t>. (</w:t>
      </w:r>
      <w:proofErr w:type="spellStart"/>
      <w:r w:rsidR="009A0949">
        <w:t>E</w:t>
      </w:r>
      <w:r w:rsidR="00763672">
        <w:t>ds</w:t>
      </w:r>
      <w:proofErr w:type="spellEnd"/>
      <w:r w:rsidR="009A0949">
        <w:t>),</w:t>
      </w:r>
      <w:r w:rsidRPr="00A70AF5">
        <w:t xml:space="preserve"> </w:t>
      </w:r>
      <w:proofErr w:type="gramStart"/>
      <w:r w:rsidRPr="00763672">
        <w:rPr>
          <w:i/>
        </w:rPr>
        <w:t>Comparative</w:t>
      </w:r>
      <w:proofErr w:type="gramEnd"/>
      <w:r w:rsidRPr="00763672">
        <w:rPr>
          <w:i/>
        </w:rPr>
        <w:t xml:space="preserve"> Quantification of Health Risks: Global and Regional Burden of Disease Attributable to Selected Major Risk Factors</w:t>
      </w:r>
      <w:r w:rsidRPr="00A70AF5">
        <w:t xml:space="preserve">. </w:t>
      </w:r>
      <w:r w:rsidR="009A0949">
        <w:t xml:space="preserve">World Health Organization, </w:t>
      </w:r>
      <w:r w:rsidR="009A0949" w:rsidRPr="00A70AF5">
        <w:t>Geneva</w:t>
      </w:r>
      <w:r w:rsidR="00763672">
        <w:t>, Switzerland</w:t>
      </w:r>
      <w:r w:rsidR="009A0949">
        <w:t>.</w:t>
      </w:r>
    </w:p>
    <w:p w14:paraId="67B327ED" w14:textId="77777777" w:rsidR="004766DF" w:rsidRPr="001B3930" w:rsidRDefault="004D2B30" w:rsidP="00412DBB">
      <w:pPr>
        <w:pStyle w:val="ListParagraph"/>
        <w:numPr>
          <w:ilvl w:val="0"/>
          <w:numId w:val="5"/>
        </w:numPr>
        <w:spacing w:line="240" w:lineRule="auto"/>
      </w:pPr>
      <w:proofErr w:type="spellStart"/>
      <w:r w:rsidRPr="00A70AF5">
        <w:rPr>
          <w:lang w:val="es-ES"/>
        </w:rPr>
        <w:t>Feenstra</w:t>
      </w:r>
      <w:proofErr w:type="spellEnd"/>
      <w:r w:rsidRPr="00A70AF5">
        <w:rPr>
          <w:lang w:val="es-ES"/>
        </w:rPr>
        <w:t xml:space="preserve"> TL, van </w:t>
      </w:r>
      <w:proofErr w:type="spellStart"/>
      <w:r w:rsidRPr="00A70AF5">
        <w:rPr>
          <w:lang w:val="es-ES"/>
        </w:rPr>
        <w:t>Genugten</w:t>
      </w:r>
      <w:proofErr w:type="spellEnd"/>
      <w:r w:rsidRPr="00A70AF5">
        <w:rPr>
          <w:lang w:val="es-ES"/>
        </w:rPr>
        <w:t xml:space="preserve"> MLL, </w:t>
      </w:r>
      <w:proofErr w:type="spellStart"/>
      <w:r w:rsidRPr="00A70AF5">
        <w:rPr>
          <w:lang w:val="es-ES"/>
        </w:rPr>
        <w:t>Hoogenveen</w:t>
      </w:r>
      <w:proofErr w:type="spellEnd"/>
      <w:r w:rsidRPr="00A70AF5">
        <w:rPr>
          <w:lang w:val="es-ES"/>
        </w:rPr>
        <w:t xml:space="preserve"> RT, et al.</w:t>
      </w:r>
      <w:r w:rsidR="009A0949">
        <w:rPr>
          <w:lang w:val="es-ES"/>
        </w:rPr>
        <w:t>, 2001.</w:t>
      </w:r>
      <w:r w:rsidRPr="00A70AF5">
        <w:rPr>
          <w:lang w:val="es-ES"/>
        </w:rPr>
        <w:t xml:space="preserve"> </w:t>
      </w:r>
      <w:r w:rsidRPr="00A70AF5">
        <w:t xml:space="preserve">The impact of aging and smoking on the future burden of chronic obstructive pulmonary disease. </w:t>
      </w:r>
      <w:r w:rsidRPr="00763672">
        <w:rPr>
          <w:i/>
        </w:rPr>
        <w:t xml:space="preserve">Am J </w:t>
      </w:r>
      <w:proofErr w:type="spellStart"/>
      <w:r w:rsidRPr="00763672">
        <w:rPr>
          <w:i/>
        </w:rPr>
        <w:t>Respir</w:t>
      </w:r>
      <w:proofErr w:type="spellEnd"/>
      <w:r w:rsidRPr="00763672">
        <w:rPr>
          <w:i/>
        </w:rPr>
        <w:t xml:space="preserve"> </w:t>
      </w:r>
      <w:proofErr w:type="spellStart"/>
      <w:r w:rsidRPr="00763672">
        <w:rPr>
          <w:i/>
        </w:rPr>
        <w:t>Crit</w:t>
      </w:r>
      <w:proofErr w:type="spellEnd"/>
      <w:r w:rsidRPr="00763672">
        <w:rPr>
          <w:i/>
        </w:rPr>
        <w:t xml:space="preserve"> Care Med</w:t>
      </w:r>
      <w:r w:rsidR="009A0949" w:rsidRPr="001B3930">
        <w:t xml:space="preserve"> </w:t>
      </w:r>
      <w:r w:rsidRPr="00763672">
        <w:rPr>
          <w:b/>
        </w:rPr>
        <w:t>164</w:t>
      </w:r>
      <w:r w:rsidR="009A0949" w:rsidRPr="001B3930">
        <w:t xml:space="preserve">, </w:t>
      </w:r>
      <w:r w:rsidRPr="001B3930">
        <w:t>590</w:t>
      </w:r>
      <w:r w:rsidRPr="001B3930">
        <w:rPr>
          <w:rFonts w:cstheme="minorHAnsi"/>
        </w:rPr>
        <w:t>‒</w:t>
      </w:r>
      <w:proofErr w:type="gramStart"/>
      <w:r w:rsidRPr="001B3930">
        <w:t>6.</w:t>
      </w:r>
      <w:proofErr w:type="gramEnd"/>
    </w:p>
    <w:p w14:paraId="5F0FADCD" w14:textId="77777777" w:rsidR="004766DF" w:rsidRPr="001B3930" w:rsidRDefault="00763672" w:rsidP="00412DBB">
      <w:pPr>
        <w:pStyle w:val="ListParagraph"/>
        <w:numPr>
          <w:ilvl w:val="0"/>
          <w:numId w:val="5"/>
        </w:numPr>
        <w:spacing w:line="240" w:lineRule="auto"/>
      </w:pPr>
      <w:r>
        <w:t>Fisk W</w:t>
      </w:r>
      <w:r w:rsidR="004766DF" w:rsidRPr="001B3930">
        <w:t>J</w:t>
      </w:r>
      <w:r>
        <w:t xml:space="preserve">, Lei-Gomez Q, </w:t>
      </w:r>
      <w:proofErr w:type="spellStart"/>
      <w:r>
        <w:t>Mendell</w:t>
      </w:r>
      <w:proofErr w:type="spellEnd"/>
      <w:r>
        <w:t xml:space="preserve"> MJ</w:t>
      </w:r>
      <w:r w:rsidR="004766DF" w:rsidRPr="001B3930">
        <w:t xml:space="preserve">, 2007. Meta-analyses of the associations of respiratory health effects with dampness and </w:t>
      </w:r>
      <w:proofErr w:type="spellStart"/>
      <w:r w:rsidR="004766DF" w:rsidRPr="001B3930">
        <w:t>mo</w:t>
      </w:r>
      <w:r>
        <w:t>ld</w:t>
      </w:r>
      <w:proofErr w:type="spellEnd"/>
      <w:r>
        <w:t xml:space="preserve"> in homes. </w:t>
      </w:r>
      <w:r w:rsidRPr="00763672">
        <w:rPr>
          <w:i/>
        </w:rPr>
        <w:t>Indoor Air</w:t>
      </w:r>
      <w:r>
        <w:t xml:space="preserve"> </w:t>
      </w:r>
      <w:r w:rsidRPr="00763672">
        <w:rPr>
          <w:b/>
        </w:rPr>
        <w:t>17</w:t>
      </w:r>
      <w:r>
        <w:t>, 284–</w:t>
      </w:r>
      <w:r w:rsidR="004766DF" w:rsidRPr="001B3930">
        <w:t>96.</w:t>
      </w:r>
    </w:p>
    <w:p w14:paraId="778B713A" w14:textId="77777777" w:rsidR="004D2B30" w:rsidRPr="00A70AF5" w:rsidRDefault="004D2B30" w:rsidP="00412DBB">
      <w:pPr>
        <w:pStyle w:val="ListParagraph"/>
        <w:numPr>
          <w:ilvl w:val="0"/>
          <w:numId w:val="5"/>
        </w:numPr>
        <w:spacing w:line="240" w:lineRule="auto"/>
      </w:pPr>
      <w:r w:rsidRPr="00A70AF5">
        <w:t xml:space="preserve">Forman D, Stockton D, </w:t>
      </w:r>
      <w:proofErr w:type="spellStart"/>
      <w:r w:rsidRPr="00A70AF5">
        <w:t>Møller</w:t>
      </w:r>
      <w:proofErr w:type="spellEnd"/>
      <w:r w:rsidRPr="00A70AF5">
        <w:t xml:space="preserve"> H, et al.</w:t>
      </w:r>
      <w:r w:rsidR="00801637">
        <w:t>, 2003.</w:t>
      </w:r>
      <w:r w:rsidRPr="00A70AF5">
        <w:t xml:space="preserve"> Cancer prevalence in the UK: results from the E</w:t>
      </w:r>
      <w:r w:rsidR="00801637">
        <w:t>UROPREVAL study</w:t>
      </w:r>
      <w:r w:rsidR="00763672">
        <w:t xml:space="preserve">. </w:t>
      </w:r>
      <w:r w:rsidR="00763672" w:rsidRPr="00763672">
        <w:rPr>
          <w:i/>
        </w:rPr>
        <w:t xml:space="preserve">Ann </w:t>
      </w:r>
      <w:proofErr w:type="spellStart"/>
      <w:r w:rsidR="00763672" w:rsidRPr="00763672">
        <w:rPr>
          <w:i/>
        </w:rPr>
        <w:t>Oncol</w:t>
      </w:r>
      <w:proofErr w:type="spellEnd"/>
      <w:r w:rsidR="00801637" w:rsidRPr="00801637">
        <w:t xml:space="preserve"> </w:t>
      </w:r>
      <w:r w:rsidRPr="00763672">
        <w:rPr>
          <w:b/>
        </w:rPr>
        <w:t>14</w:t>
      </w:r>
      <w:r w:rsidR="00801637" w:rsidRPr="00801637">
        <w:t xml:space="preserve">, </w:t>
      </w:r>
      <w:r w:rsidRPr="00801637">
        <w:t>648</w:t>
      </w:r>
      <w:r w:rsidRPr="00801637">
        <w:rPr>
          <w:rFonts w:cstheme="minorHAnsi"/>
        </w:rPr>
        <w:t>‒</w:t>
      </w:r>
      <w:r w:rsidRPr="00A70AF5">
        <w:t xml:space="preserve">54. </w:t>
      </w:r>
    </w:p>
    <w:p w14:paraId="3B83C385" w14:textId="77777777" w:rsidR="004D2B30" w:rsidRPr="00A4426C" w:rsidRDefault="004D2B30" w:rsidP="00412DBB">
      <w:pPr>
        <w:pStyle w:val="ListParagraph"/>
        <w:numPr>
          <w:ilvl w:val="0"/>
          <w:numId w:val="5"/>
        </w:numPr>
        <w:spacing w:line="240" w:lineRule="auto"/>
      </w:pPr>
      <w:proofErr w:type="spellStart"/>
      <w:r w:rsidRPr="00B87D97">
        <w:rPr>
          <w:lang w:val="fr-FR"/>
        </w:rPr>
        <w:t>Gehring</w:t>
      </w:r>
      <w:proofErr w:type="spellEnd"/>
      <w:r w:rsidRPr="00B87D97">
        <w:rPr>
          <w:lang w:val="fr-FR"/>
        </w:rPr>
        <w:t xml:space="preserve"> U, </w:t>
      </w:r>
      <w:proofErr w:type="spellStart"/>
      <w:r w:rsidRPr="00B87D97">
        <w:rPr>
          <w:lang w:val="fr-FR"/>
        </w:rPr>
        <w:t>Wijga</w:t>
      </w:r>
      <w:proofErr w:type="spellEnd"/>
      <w:r w:rsidRPr="00B87D97">
        <w:rPr>
          <w:lang w:val="fr-FR"/>
        </w:rPr>
        <w:t xml:space="preserve"> AH, </w:t>
      </w:r>
      <w:proofErr w:type="spellStart"/>
      <w:r w:rsidRPr="00B87D97">
        <w:rPr>
          <w:lang w:val="fr-FR"/>
        </w:rPr>
        <w:t>Brauer</w:t>
      </w:r>
      <w:proofErr w:type="spellEnd"/>
      <w:r w:rsidRPr="00B87D97">
        <w:rPr>
          <w:lang w:val="fr-FR"/>
        </w:rPr>
        <w:t xml:space="preserve"> M, et </w:t>
      </w:r>
      <w:proofErr w:type="gramStart"/>
      <w:r w:rsidRPr="00B87D97">
        <w:rPr>
          <w:lang w:val="fr-FR"/>
        </w:rPr>
        <w:t>al.</w:t>
      </w:r>
      <w:r w:rsidR="00801637" w:rsidRPr="00B87D97">
        <w:rPr>
          <w:lang w:val="fr-FR"/>
        </w:rPr>
        <w:t>,</w:t>
      </w:r>
      <w:proofErr w:type="gramEnd"/>
      <w:r w:rsidR="00801637" w:rsidRPr="00B87D97">
        <w:rPr>
          <w:lang w:val="fr-FR"/>
        </w:rPr>
        <w:t xml:space="preserve"> 2010.</w:t>
      </w:r>
      <w:r w:rsidRPr="00B87D97">
        <w:rPr>
          <w:lang w:val="fr-FR"/>
        </w:rPr>
        <w:t xml:space="preserve"> Traffic-</w:t>
      </w:r>
      <w:proofErr w:type="spellStart"/>
      <w:r w:rsidRPr="00B87D97">
        <w:rPr>
          <w:lang w:val="fr-FR"/>
        </w:rPr>
        <w:t>related</w:t>
      </w:r>
      <w:proofErr w:type="spellEnd"/>
      <w:r w:rsidRPr="00B87D97">
        <w:rPr>
          <w:lang w:val="fr-FR"/>
        </w:rPr>
        <w:t xml:space="preserve"> air pollution and the </w:t>
      </w:r>
      <w:proofErr w:type="spellStart"/>
      <w:r w:rsidRPr="00B87D97">
        <w:rPr>
          <w:lang w:val="fr-FR"/>
        </w:rPr>
        <w:t>development</w:t>
      </w:r>
      <w:proofErr w:type="spellEnd"/>
      <w:r w:rsidRPr="00B87D97">
        <w:rPr>
          <w:lang w:val="fr-FR"/>
        </w:rPr>
        <w:t xml:space="preserve"> of </w:t>
      </w:r>
      <w:proofErr w:type="spellStart"/>
      <w:r w:rsidRPr="00B87D97">
        <w:rPr>
          <w:lang w:val="fr-FR"/>
        </w:rPr>
        <w:t>asthma</w:t>
      </w:r>
      <w:proofErr w:type="spellEnd"/>
      <w:r w:rsidRPr="00B87D97">
        <w:rPr>
          <w:lang w:val="fr-FR"/>
        </w:rPr>
        <w:t xml:space="preserve"> and allergies </w:t>
      </w:r>
      <w:proofErr w:type="spellStart"/>
      <w:r w:rsidRPr="00B87D97">
        <w:rPr>
          <w:lang w:val="fr-FR"/>
        </w:rPr>
        <w:t>during</w:t>
      </w:r>
      <w:proofErr w:type="spellEnd"/>
      <w:r w:rsidRPr="00B87D97">
        <w:rPr>
          <w:lang w:val="fr-FR"/>
        </w:rPr>
        <w:t xml:space="preserve"> the first 8 </w:t>
      </w:r>
      <w:proofErr w:type="spellStart"/>
      <w:r w:rsidRPr="00B87D97">
        <w:rPr>
          <w:lang w:val="fr-FR"/>
        </w:rPr>
        <w:t>years</w:t>
      </w:r>
      <w:proofErr w:type="spellEnd"/>
      <w:r w:rsidRPr="00B87D97">
        <w:rPr>
          <w:lang w:val="fr-FR"/>
        </w:rPr>
        <w:t xml:space="preserve"> of life. </w:t>
      </w:r>
      <w:r w:rsidRPr="00A36E73">
        <w:rPr>
          <w:i/>
          <w:lang w:val="fr-FR"/>
        </w:rPr>
        <w:t xml:space="preserve">Am J </w:t>
      </w:r>
      <w:proofErr w:type="spellStart"/>
      <w:r w:rsidRPr="00A36E73">
        <w:rPr>
          <w:i/>
          <w:lang w:val="fr-FR"/>
        </w:rPr>
        <w:t>Respir</w:t>
      </w:r>
      <w:proofErr w:type="spellEnd"/>
      <w:r w:rsidRPr="00A36E73">
        <w:rPr>
          <w:i/>
          <w:lang w:val="fr-FR"/>
        </w:rPr>
        <w:t xml:space="preserve"> </w:t>
      </w:r>
      <w:proofErr w:type="spellStart"/>
      <w:r w:rsidRPr="00A36E73">
        <w:rPr>
          <w:i/>
          <w:lang w:val="fr-FR"/>
        </w:rPr>
        <w:t>Crit</w:t>
      </w:r>
      <w:proofErr w:type="spellEnd"/>
      <w:r w:rsidRPr="00A36E73">
        <w:rPr>
          <w:i/>
          <w:lang w:val="fr-FR"/>
        </w:rPr>
        <w:t xml:space="preserve"> Care Med</w:t>
      </w:r>
      <w:r w:rsidR="00801637" w:rsidRPr="00B87D97">
        <w:rPr>
          <w:lang w:val="fr-FR"/>
        </w:rPr>
        <w:t xml:space="preserve"> </w:t>
      </w:r>
      <w:r w:rsidRPr="00A36E73">
        <w:rPr>
          <w:b/>
          <w:lang w:val="fr-FR"/>
        </w:rPr>
        <w:t>181</w:t>
      </w:r>
      <w:r w:rsidR="00801637" w:rsidRPr="00B87D97">
        <w:rPr>
          <w:lang w:val="fr-FR"/>
        </w:rPr>
        <w:t xml:space="preserve">, </w:t>
      </w:r>
      <w:r w:rsidRPr="00B87D97">
        <w:rPr>
          <w:lang w:val="fr-FR"/>
        </w:rPr>
        <w:t>596</w:t>
      </w:r>
      <w:r w:rsidRPr="00B87D97">
        <w:rPr>
          <w:rFonts w:cstheme="minorHAnsi"/>
        </w:rPr>
        <w:t>‒</w:t>
      </w:r>
      <w:r w:rsidRPr="00B87D97">
        <w:rPr>
          <w:lang w:val="fr-FR"/>
        </w:rPr>
        <w:t>603.</w:t>
      </w:r>
    </w:p>
    <w:p w14:paraId="23FE9BED" w14:textId="725621AF" w:rsidR="00A4426C" w:rsidRPr="002F027E" w:rsidRDefault="00A4426C" w:rsidP="00412DBB">
      <w:pPr>
        <w:pStyle w:val="ListParagraph"/>
        <w:numPr>
          <w:ilvl w:val="0"/>
          <w:numId w:val="5"/>
        </w:numPr>
        <w:spacing w:line="240" w:lineRule="auto"/>
      </w:pPr>
      <w:r>
        <w:t xml:space="preserve">Hurley S, Matthews J, 2007. The Quit Benefits Model: a Markov model for assessing the health benefits and health care cost savings of quitting smoking. </w:t>
      </w:r>
      <w:r w:rsidRPr="00A4426C">
        <w:rPr>
          <w:i/>
        </w:rPr>
        <w:t xml:space="preserve">Cost Eff </w:t>
      </w:r>
      <w:proofErr w:type="spellStart"/>
      <w:r w:rsidRPr="00A4426C">
        <w:rPr>
          <w:i/>
        </w:rPr>
        <w:t>Resour</w:t>
      </w:r>
      <w:proofErr w:type="spellEnd"/>
      <w:r w:rsidRPr="00A4426C">
        <w:rPr>
          <w:i/>
        </w:rPr>
        <w:t xml:space="preserve"> </w:t>
      </w:r>
      <w:proofErr w:type="spellStart"/>
      <w:r w:rsidRPr="00A4426C">
        <w:rPr>
          <w:i/>
        </w:rPr>
        <w:t>Allo</w:t>
      </w:r>
      <w:r>
        <w:rPr>
          <w:i/>
        </w:rPr>
        <w:t>c</w:t>
      </w:r>
      <w:proofErr w:type="spellEnd"/>
      <w:r>
        <w:t xml:space="preserve"> </w:t>
      </w:r>
      <w:r w:rsidRPr="00A4426C">
        <w:rPr>
          <w:b/>
        </w:rPr>
        <w:t>5</w:t>
      </w:r>
      <w:r>
        <w:t>, 2.</w:t>
      </w:r>
    </w:p>
    <w:p w14:paraId="48F08C20" w14:textId="77777777" w:rsidR="002F027E" w:rsidRPr="00B87D97" w:rsidRDefault="00A36E73" w:rsidP="00412DBB">
      <w:pPr>
        <w:pStyle w:val="ListParagraph"/>
        <w:numPr>
          <w:ilvl w:val="0"/>
          <w:numId w:val="5"/>
        </w:numPr>
        <w:spacing w:line="240" w:lineRule="auto"/>
      </w:pPr>
      <w:proofErr w:type="spellStart"/>
      <w:r>
        <w:t>Kattan</w:t>
      </w:r>
      <w:proofErr w:type="spellEnd"/>
      <w:r>
        <w:t xml:space="preserve"> M</w:t>
      </w:r>
      <w:r w:rsidR="002F027E" w:rsidRPr="002F027E">
        <w:t>K</w:t>
      </w:r>
      <w:r>
        <w:t xml:space="preserve">, </w:t>
      </w:r>
      <w:proofErr w:type="spellStart"/>
      <w:r>
        <w:t>Gergen</w:t>
      </w:r>
      <w:proofErr w:type="spellEnd"/>
      <w:r>
        <w:t xml:space="preserve"> PJ, Eggleston P</w:t>
      </w:r>
      <w:r w:rsidR="002F027E" w:rsidRPr="002F027E">
        <w:t xml:space="preserve">, </w:t>
      </w:r>
      <w:r w:rsidR="002F027E">
        <w:t>et al., 2007</w:t>
      </w:r>
      <w:r w:rsidR="002F027E" w:rsidRPr="002F027E">
        <w:t>. Health effects of indoor nitrogen dioxide and passive smoking</w:t>
      </w:r>
      <w:r>
        <w:t xml:space="preserve"> on urban asthmatic children. </w:t>
      </w:r>
      <w:r w:rsidRPr="00A36E73">
        <w:rPr>
          <w:i/>
        </w:rPr>
        <w:t xml:space="preserve">J Allergy </w:t>
      </w:r>
      <w:proofErr w:type="spellStart"/>
      <w:r w:rsidRPr="00A36E73">
        <w:rPr>
          <w:i/>
        </w:rPr>
        <w:t>Clin</w:t>
      </w:r>
      <w:proofErr w:type="spellEnd"/>
      <w:r w:rsidRPr="00A36E73">
        <w:rPr>
          <w:i/>
        </w:rPr>
        <w:t xml:space="preserve"> </w:t>
      </w:r>
      <w:proofErr w:type="spellStart"/>
      <w:r w:rsidRPr="00A36E73">
        <w:rPr>
          <w:i/>
        </w:rPr>
        <w:t>Immunol</w:t>
      </w:r>
      <w:proofErr w:type="spellEnd"/>
      <w:r w:rsidR="002F027E" w:rsidRPr="002F027E">
        <w:t xml:space="preserve"> </w:t>
      </w:r>
      <w:r w:rsidR="002F027E" w:rsidRPr="00A36E73">
        <w:rPr>
          <w:b/>
        </w:rPr>
        <w:t>120</w:t>
      </w:r>
      <w:r w:rsidR="002F027E" w:rsidRPr="002F027E">
        <w:t>, 618</w:t>
      </w:r>
      <w:r w:rsidR="002F027E" w:rsidRPr="00B87D97">
        <w:rPr>
          <w:rFonts w:cstheme="minorHAnsi"/>
        </w:rPr>
        <w:t>‒</w:t>
      </w:r>
      <w:r w:rsidR="002F027E" w:rsidRPr="002F027E">
        <w:t>24.</w:t>
      </w:r>
    </w:p>
    <w:p w14:paraId="4F3C740D" w14:textId="77777777" w:rsidR="003855DF" w:rsidRPr="00F06D9A" w:rsidRDefault="00A36E73" w:rsidP="00412DBB">
      <w:pPr>
        <w:pStyle w:val="ListParagraph"/>
        <w:numPr>
          <w:ilvl w:val="0"/>
          <w:numId w:val="5"/>
        </w:numPr>
        <w:spacing w:line="240" w:lineRule="auto"/>
      </w:pPr>
      <w:proofErr w:type="spellStart"/>
      <w:r>
        <w:rPr>
          <w:lang w:val="fr-FR"/>
        </w:rPr>
        <w:t>Lhachimi</w:t>
      </w:r>
      <w:proofErr w:type="spellEnd"/>
      <w:r>
        <w:rPr>
          <w:lang w:val="fr-FR"/>
        </w:rPr>
        <w:t xml:space="preserve"> SK, </w:t>
      </w:r>
      <w:proofErr w:type="spellStart"/>
      <w:r>
        <w:rPr>
          <w:lang w:val="fr-FR"/>
        </w:rPr>
        <w:t>Nusselder</w:t>
      </w:r>
      <w:proofErr w:type="spellEnd"/>
      <w:r>
        <w:rPr>
          <w:lang w:val="fr-FR"/>
        </w:rPr>
        <w:t xml:space="preserve"> WJ, Smit HA</w:t>
      </w:r>
      <w:r w:rsidR="003855DF" w:rsidRPr="00B87D97">
        <w:rPr>
          <w:lang w:val="fr-FR"/>
        </w:rPr>
        <w:t xml:space="preserve">, et </w:t>
      </w:r>
      <w:proofErr w:type="gramStart"/>
      <w:r w:rsidR="003855DF" w:rsidRPr="00B87D97">
        <w:rPr>
          <w:lang w:val="fr-FR"/>
        </w:rPr>
        <w:t>al.,</w:t>
      </w:r>
      <w:proofErr w:type="gramEnd"/>
      <w:r w:rsidR="003855DF" w:rsidRPr="00B87D97">
        <w:rPr>
          <w:lang w:val="fr-FR"/>
        </w:rPr>
        <w:t xml:space="preserve"> 201</w:t>
      </w:r>
      <w:r w:rsidR="00FA0515" w:rsidRPr="00B87D97">
        <w:rPr>
          <w:lang w:val="fr-FR"/>
        </w:rPr>
        <w:t>2</w:t>
      </w:r>
      <w:r w:rsidR="003855DF" w:rsidRPr="00B87D97">
        <w:rPr>
          <w:lang w:val="fr-FR"/>
        </w:rPr>
        <w:t xml:space="preserve">. DYNAMO-HIA–a </w:t>
      </w:r>
      <w:proofErr w:type="spellStart"/>
      <w:r w:rsidR="003855DF" w:rsidRPr="00B87D97">
        <w:rPr>
          <w:lang w:val="fr-FR"/>
        </w:rPr>
        <w:t>dynamic</w:t>
      </w:r>
      <w:proofErr w:type="spellEnd"/>
      <w:r w:rsidR="003855DF" w:rsidRPr="00B87D97">
        <w:rPr>
          <w:lang w:val="fr-FR"/>
        </w:rPr>
        <w:t xml:space="preserve"> </w:t>
      </w:r>
      <w:proofErr w:type="spellStart"/>
      <w:r w:rsidR="003855DF" w:rsidRPr="00B87D97">
        <w:rPr>
          <w:lang w:val="fr-FR"/>
        </w:rPr>
        <w:t>tool</w:t>
      </w:r>
      <w:proofErr w:type="spellEnd"/>
      <w:r w:rsidR="003855DF" w:rsidRPr="00B87D97">
        <w:rPr>
          <w:lang w:val="fr-FR"/>
        </w:rPr>
        <w:t xml:space="preserve"> </w:t>
      </w:r>
      <w:proofErr w:type="spellStart"/>
      <w:r w:rsidR="003855DF" w:rsidRPr="00B87D97">
        <w:rPr>
          <w:lang w:val="fr-FR"/>
        </w:rPr>
        <w:t>modeling</w:t>
      </w:r>
      <w:proofErr w:type="spellEnd"/>
      <w:r w:rsidR="003855DF" w:rsidRPr="00B87D97">
        <w:rPr>
          <w:lang w:val="fr-FR"/>
        </w:rPr>
        <w:t xml:space="preserve"> for </w:t>
      </w:r>
      <w:proofErr w:type="spellStart"/>
      <w:r w:rsidR="003855DF" w:rsidRPr="00B87D97">
        <w:rPr>
          <w:lang w:val="fr-FR"/>
        </w:rPr>
        <w:t>generic</w:t>
      </w:r>
      <w:proofErr w:type="spellEnd"/>
      <w:r w:rsidR="003855DF" w:rsidRPr="00B87D97">
        <w:rPr>
          <w:lang w:val="fr-FR"/>
        </w:rPr>
        <w:t xml:space="preserve"> </w:t>
      </w:r>
      <w:proofErr w:type="spellStart"/>
      <w:r w:rsidR="003855DF" w:rsidRPr="00B87D97">
        <w:rPr>
          <w:lang w:val="fr-FR"/>
        </w:rPr>
        <w:t>health</w:t>
      </w:r>
      <w:proofErr w:type="spellEnd"/>
      <w:r w:rsidR="003855DF" w:rsidRPr="00B87D97">
        <w:rPr>
          <w:lang w:val="fr-FR"/>
        </w:rPr>
        <w:t xml:space="preserve"> impact </w:t>
      </w:r>
      <w:proofErr w:type="spellStart"/>
      <w:r w:rsidR="003855DF" w:rsidRPr="00B87D97">
        <w:rPr>
          <w:lang w:val="fr-FR"/>
        </w:rPr>
        <w:t>assessments</w:t>
      </w:r>
      <w:proofErr w:type="spellEnd"/>
      <w:r w:rsidR="003855DF" w:rsidRPr="00B87D97">
        <w:rPr>
          <w:lang w:val="fr-FR"/>
        </w:rPr>
        <w:t xml:space="preserve">. </w:t>
      </w:r>
      <w:r w:rsidR="003855DF" w:rsidRPr="00A36E73">
        <w:rPr>
          <w:i/>
          <w:lang w:val="fr-FR"/>
        </w:rPr>
        <w:t>PLOS One</w:t>
      </w:r>
      <w:r w:rsidR="003855DF" w:rsidRPr="00B87D97">
        <w:rPr>
          <w:lang w:val="fr-FR"/>
        </w:rPr>
        <w:t xml:space="preserve"> </w:t>
      </w:r>
      <w:r w:rsidR="003855DF" w:rsidRPr="00A36E73">
        <w:rPr>
          <w:b/>
          <w:lang w:val="fr-FR"/>
        </w:rPr>
        <w:t>7</w:t>
      </w:r>
      <w:r w:rsidR="003855DF" w:rsidRPr="00B87D97">
        <w:rPr>
          <w:lang w:val="fr-FR"/>
        </w:rPr>
        <w:t>, e33317.</w:t>
      </w:r>
    </w:p>
    <w:p w14:paraId="32789268" w14:textId="2AEE8479" w:rsidR="00F06D9A" w:rsidRPr="00C06D69" w:rsidRDefault="00F06D9A" w:rsidP="00412DBB">
      <w:pPr>
        <w:pStyle w:val="ListParagraph"/>
        <w:numPr>
          <w:ilvl w:val="0"/>
          <w:numId w:val="5"/>
        </w:numPr>
        <w:spacing w:line="240" w:lineRule="auto"/>
      </w:pPr>
      <w:r>
        <w:t xml:space="preserve">Lim SS, </w:t>
      </w:r>
      <w:proofErr w:type="spellStart"/>
      <w:r>
        <w:t>Vos</w:t>
      </w:r>
      <w:proofErr w:type="spellEnd"/>
      <w:r>
        <w:t xml:space="preserve"> T, Flaxman AD, et al., 2012. A comparative risk assessment of burden of disease and injury attributable to 67 risk factors and risk factor clusters in 21 regions, 1990-2010: a systematic analysis for the Global Burden of Disease Study 2010. </w:t>
      </w:r>
      <w:r w:rsidRPr="00F06D9A">
        <w:rPr>
          <w:i/>
        </w:rPr>
        <w:t>Lancet</w:t>
      </w:r>
      <w:r>
        <w:t xml:space="preserve"> </w:t>
      </w:r>
      <w:r w:rsidRPr="00F06D9A">
        <w:rPr>
          <w:b/>
        </w:rPr>
        <w:t>380</w:t>
      </w:r>
      <w:r>
        <w:t>, 2224-60.</w:t>
      </w:r>
    </w:p>
    <w:p w14:paraId="7619A231" w14:textId="52AE2B1C" w:rsidR="00C06D69" w:rsidRPr="00B87D97" w:rsidRDefault="00C06D69" w:rsidP="00C06D69">
      <w:pPr>
        <w:pStyle w:val="ListParagraph"/>
        <w:numPr>
          <w:ilvl w:val="0"/>
          <w:numId w:val="5"/>
        </w:numPr>
        <w:spacing w:line="240" w:lineRule="auto"/>
      </w:pPr>
      <w:r>
        <w:t xml:space="preserve">Lin HH, Murray M, Cohen T, et al., 2008. </w:t>
      </w:r>
      <w:r w:rsidRPr="00C06D69">
        <w:t>Effects of smoking and solid-fuel use on COPD, lung cancer, and tuberculosis in China: a time-based, multiple risk factor, modelling study.</w:t>
      </w:r>
      <w:r>
        <w:t xml:space="preserve"> </w:t>
      </w:r>
      <w:r w:rsidRPr="00C06D69">
        <w:rPr>
          <w:i/>
        </w:rPr>
        <w:t>Lancet</w:t>
      </w:r>
      <w:r>
        <w:t xml:space="preserve"> </w:t>
      </w:r>
      <w:r w:rsidRPr="00C06D69">
        <w:rPr>
          <w:b/>
        </w:rPr>
        <w:t>372</w:t>
      </w:r>
      <w:r>
        <w:t xml:space="preserve">, 1473-83. </w:t>
      </w:r>
    </w:p>
    <w:p w14:paraId="5D3CFB0D" w14:textId="77777777" w:rsidR="004D2B30" w:rsidRPr="00A70AF5" w:rsidRDefault="004D2B30" w:rsidP="00412DBB">
      <w:pPr>
        <w:pStyle w:val="ListParagraph"/>
        <w:numPr>
          <w:ilvl w:val="0"/>
          <w:numId w:val="5"/>
        </w:numPr>
        <w:spacing w:line="240" w:lineRule="auto"/>
      </w:pPr>
      <w:proofErr w:type="spellStart"/>
      <w:r w:rsidRPr="00B87D97">
        <w:t>Lubitz</w:t>
      </w:r>
      <w:proofErr w:type="spellEnd"/>
      <w:r w:rsidRPr="00B87D97">
        <w:t xml:space="preserve"> J, </w:t>
      </w:r>
      <w:proofErr w:type="spellStart"/>
      <w:proofErr w:type="gramStart"/>
      <w:r w:rsidRPr="00B87D97">
        <w:t>Cai</w:t>
      </w:r>
      <w:proofErr w:type="spellEnd"/>
      <w:proofErr w:type="gramEnd"/>
      <w:r w:rsidRPr="00B87D97">
        <w:t xml:space="preserve"> L, </w:t>
      </w:r>
      <w:proofErr w:type="spellStart"/>
      <w:r w:rsidRPr="00B87D97">
        <w:t>Kramarow</w:t>
      </w:r>
      <w:proofErr w:type="spellEnd"/>
      <w:r w:rsidRPr="00B87D97">
        <w:t xml:space="preserve"> E, et al.</w:t>
      </w:r>
      <w:r w:rsidR="00801637" w:rsidRPr="00B87D97">
        <w:t>, 2003.</w:t>
      </w:r>
      <w:r w:rsidRPr="00B87D97">
        <w:t xml:space="preserve"> Health, life expectancy, and health</w:t>
      </w:r>
      <w:r w:rsidRPr="00A70AF5">
        <w:t xml:space="preserve"> care spending among</w:t>
      </w:r>
      <w:r w:rsidR="00801637">
        <w:t xml:space="preserve"> the elderly. </w:t>
      </w:r>
      <w:r w:rsidR="00A36E73" w:rsidRPr="00A36E73">
        <w:rPr>
          <w:i/>
        </w:rPr>
        <w:t>NEJM</w:t>
      </w:r>
      <w:r w:rsidR="00801637" w:rsidRPr="00801637">
        <w:t xml:space="preserve"> </w:t>
      </w:r>
      <w:r w:rsidRPr="00A36E73">
        <w:rPr>
          <w:b/>
        </w:rPr>
        <w:t>349</w:t>
      </w:r>
      <w:r w:rsidR="00801637" w:rsidRPr="00801637">
        <w:t xml:space="preserve">, </w:t>
      </w:r>
      <w:r w:rsidRPr="00801637">
        <w:t>1048</w:t>
      </w:r>
      <w:r w:rsidRPr="00A70AF5">
        <w:rPr>
          <w:rFonts w:cstheme="minorHAnsi"/>
        </w:rPr>
        <w:t>‒</w:t>
      </w:r>
      <w:r w:rsidRPr="00A70AF5">
        <w:t>55.</w:t>
      </w:r>
    </w:p>
    <w:p w14:paraId="077803E2" w14:textId="77777777" w:rsidR="004D2B30" w:rsidRDefault="004D2B30" w:rsidP="00412DBB">
      <w:pPr>
        <w:pStyle w:val="ListParagraph"/>
        <w:numPr>
          <w:ilvl w:val="0"/>
          <w:numId w:val="5"/>
        </w:numPr>
        <w:spacing w:line="240" w:lineRule="auto"/>
      </w:pPr>
      <w:r w:rsidRPr="00A70AF5">
        <w:lastRenderedPageBreak/>
        <w:t xml:space="preserve">McCarthy M, </w:t>
      </w:r>
      <w:proofErr w:type="spellStart"/>
      <w:r w:rsidRPr="00A70AF5">
        <w:t>Biddulph</w:t>
      </w:r>
      <w:proofErr w:type="spellEnd"/>
      <w:r w:rsidRPr="00A70AF5">
        <w:t xml:space="preserve"> JP, Utley M, et al.</w:t>
      </w:r>
      <w:r w:rsidR="00916585">
        <w:t>, 2002.</w:t>
      </w:r>
      <w:r w:rsidRPr="00A70AF5">
        <w:t xml:space="preserve"> A health impact assessment model for environmental changes attributable to development projects. </w:t>
      </w:r>
      <w:r w:rsidRPr="00A36E73">
        <w:rPr>
          <w:i/>
        </w:rPr>
        <w:t xml:space="preserve">J </w:t>
      </w:r>
      <w:proofErr w:type="spellStart"/>
      <w:r w:rsidRPr="00A36E73">
        <w:rPr>
          <w:i/>
        </w:rPr>
        <w:t>Epidemiol</w:t>
      </w:r>
      <w:proofErr w:type="spellEnd"/>
      <w:r w:rsidR="002F6544" w:rsidRPr="00A36E73">
        <w:rPr>
          <w:i/>
        </w:rPr>
        <w:t xml:space="preserve"> Community Health</w:t>
      </w:r>
      <w:r w:rsidR="002F6544" w:rsidRPr="002F6544">
        <w:t xml:space="preserve"> </w:t>
      </w:r>
      <w:r w:rsidRPr="00A36E73">
        <w:rPr>
          <w:b/>
        </w:rPr>
        <w:t>56</w:t>
      </w:r>
      <w:r w:rsidR="002F6544" w:rsidRPr="002F6544">
        <w:t xml:space="preserve">, </w:t>
      </w:r>
      <w:r w:rsidRPr="002F6544">
        <w:t>611</w:t>
      </w:r>
      <w:r w:rsidRPr="00A70AF5">
        <w:rPr>
          <w:rFonts w:cstheme="minorHAnsi"/>
        </w:rPr>
        <w:t>‒</w:t>
      </w:r>
      <w:r w:rsidRPr="00A70AF5">
        <w:t>6.</w:t>
      </w:r>
    </w:p>
    <w:p w14:paraId="2239A6A2" w14:textId="77777777" w:rsidR="00752D6C" w:rsidRPr="00A70AF5" w:rsidRDefault="00752D6C" w:rsidP="00752D6C">
      <w:pPr>
        <w:pStyle w:val="ListParagraph"/>
        <w:numPr>
          <w:ilvl w:val="0"/>
          <w:numId w:val="5"/>
        </w:numPr>
        <w:spacing w:line="240" w:lineRule="auto"/>
      </w:pPr>
      <w:r>
        <w:t xml:space="preserve">McPherson K, Marsh T, </w:t>
      </w:r>
      <w:proofErr w:type="spellStart"/>
      <w:r w:rsidRPr="00752D6C">
        <w:t>Rtveladze</w:t>
      </w:r>
      <w:proofErr w:type="spellEnd"/>
      <w:r>
        <w:t xml:space="preserve"> K, et al., 2012. </w:t>
      </w:r>
      <w:r w:rsidRPr="00752D6C">
        <w:t>Future modelling of chronic diseases: foresight and beyond</w:t>
      </w:r>
      <w:r>
        <w:t xml:space="preserve">. </w:t>
      </w:r>
      <w:r w:rsidRPr="00752D6C">
        <w:rPr>
          <w:i/>
        </w:rPr>
        <w:t>Lancet</w:t>
      </w:r>
      <w:r>
        <w:t xml:space="preserve"> </w:t>
      </w:r>
      <w:r w:rsidRPr="00752D6C">
        <w:rPr>
          <w:b/>
        </w:rPr>
        <w:t>380</w:t>
      </w:r>
      <w:r>
        <w:t>, S9.</w:t>
      </w:r>
    </w:p>
    <w:p w14:paraId="18BA4ACD" w14:textId="77777777" w:rsidR="004D2B30" w:rsidRPr="002F6544" w:rsidRDefault="004D2B30" w:rsidP="00412DBB">
      <w:pPr>
        <w:pStyle w:val="ListParagraph"/>
        <w:numPr>
          <w:ilvl w:val="0"/>
          <w:numId w:val="5"/>
        </w:numPr>
        <w:spacing w:line="240" w:lineRule="auto"/>
      </w:pPr>
      <w:r w:rsidRPr="002F6544">
        <w:t>Miller BG, Hurley J</w:t>
      </w:r>
      <w:r w:rsidR="00A36E73">
        <w:t>F</w:t>
      </w:r>
      <w:r w:rsidR="002F6544" w:rsidRPr="002F6544">
        <w:t>, 2003.</w:t>
      </w:r>
      <w:r w:rsidRPr="002F6544">
        <w:t xml:space="preserve"> Life table methods for quantitative impact assessments in chronic mortality. </w:t>
      </w:r>
      <w:r w:rsidRPr="00A36E73">
        <w:rPr>
          <w:i/>
        </w:rPr>
        <w:t xml:space="preserve">J </w:t>
      </w:r>
      <w:proofErr w:type="spellStart"/>
      <w:r w:rsidR="00A36E73" w:rsidRPr="00A36E73">
        <w:rPr>
          <w:i/>
        </w:rPr>
        <w:t>Epidemiol</w:t>
      </w:r>
      <w:proofErr w:type="spellEnd"/>
      <w:r w:rsidR="002F6544" w:rsidRPr="00A36E73">
        <w:rPr>
          <w:i/>
        </w:rPr>
        <w:t xml:space="preserve"> Community Health</w:t>
      </w:r>
      <w:r w:rsidR="002F6544" w:rsidRPr="002F6544">
        <w:t xml:space="preserve"> </w:t>
      </w:r>
      <w:r w:rsidRPr="00A36E73">
        <w:rPr>
          <w:b/>
        </w:rPr>
        <w:t>57</w:t>
      </w:r>
      <w:r w:rsidR="002F6544" w:rsidRPr="002F6544">
        <w:t xml:space="preserve">, </w:t>
      </w:r>
      <w:r w:rsidRPr="002F6544">
        <w:t>200</w:t>
      </w:r>
      <w:r w:rsidRPr="002F6544">
        <w:rPr>
          <w:rFonts w:cstheme="minorHAnsi"/>
        </w:rPr>
        <w:t>‒</w:t>
      </w:r>
      <w:r w:rsidRPr="002F6544">
        <w:t>6.</w:t>
      </w:r>
    </w:p>
    <w:p w14:paraId="3DD46BEC" w14:textId="77777777" w:rsidR="004D2B30" w:rsidRPr="00AC52C1" w:rsidRDefault="004D2B30" w:rsidP="00412DBB">
      <w:pPr>
        <w:pStyle w:val="ListParagraph"/>
        <w:numPr>
          <w:ilvl w:val="0"/>
          <w:numId w:val="5"/>
        </w:numPr>
        <w:spacing w:line="240" w:lineRule="auto"/>
      </w:pPr>
      <w:r w:rsidRPr="00A70AF5">
        <w:t>Miller BG, Hurley J</w:t>
      </w:r>
      <w:r w:rsidR="00A36E73">
        <w:t>F</w:t>
      </w:r>
      <w:r w:rsidR="002F6544">
        <w:t>, 2006.</w:t>
      </w:r>
      <w:r w:rsidRPr="00A70AF5">
        <w:t xml:space="preserve"> </w:t>
      </w:r>
      <w:r w:rsidRPr="00A36E73">
        <w:rPr>
          <w:i/>
        </w:rPr>
        <w:t>Comparing estimated risks for air pollution with</w:t>
      </w:r>
      <w:r w:rsidR="00A36E73" w:rsidRPr="00A36E73">
        <w:rPr>
          <w:i/>
        </w:rPr>
        <w:t xml:space="preserve"> risks for other health effects</w:t>
      </w:r>
      <w:r w:rsidR="00A36E73">
        <w:t>.</w:t>
      </w:r>
      <w:r w:rsidRPr="00A70AF5">
        <w:t xml:space="preserve"> IOM Res</w:t>
      </w:r>
      <w:r w:rsidR="002F6544">
        <w:t xml:space="preserve">earch Report TM/06/01. </w:t>
      </w:r>
      <w:r w:rsidRPr="00A70AF5">
        <w:t>Institute of Occupational Medicine</w:t>
      </w:r>
      <w:r w:rsidR="002F6544">
        <w:t xml:space="preserve">, </w:t>
      </w:r>
      <w:r w:rsidR="002F6544" w:rsidRPr="00AC52C1">
        <w:t>Edinburgh</w:t>
      </w:r>
      <w:r w:rsidR="00A36E73" w:rsidRPr="00AC52C1">
        <w:t>, UK</w:t>
      </w:r>
      <w:r w:rsidRPr="00AC52C1">
        <w:t>.</w:t>
      </w:r>
    </w:p>
    <w:p w14:paraId="193D0139" w14:textId="77777777" w:rsidR="004D2B30" w:rsidRPr="00AC52C1" w:rsidRDefault="004D2B30" w:rsidP="00412DBB">
      <w:pPr>
        <w:pStyle w:val="ListParagraph"/>
        <w:numPr>
          <w:ilvl w:val="0"/>
          <w:numId w:val="5"/>
        </w:numPr>
        <w:spacing w:line="240" w:lineRule="auto"/>
      </w:pPr>
      <w:r w:rsidRPr="00AC52C1">
        <w:t xml:space="preserve">Miller KA, </w:t>
      </w:r>
      <w:proofErr w:type="spellStart"/>
      <w:r w:rsidRPr="00AC52C1">
        <w:t>Siscovick</w:t>
      </w:r>
      <w:proofErr w:type="spellEnd"/>
      <w:r w:rsidRPr="00AC52C1">
        <w:t xml:space="preserve"> DS, </w:t>
      </w:r>
      <w:proofErr w:type="spellStart"/>
      <w:r w:rsidRPr="00AC52C1">
        <w:t>Lianne</w:t>
      </w:r>
      <w:proofErr w:type="spellEnd"/>
      <w:r w:rsidRPr="00AC52C1">
        <w:t xml:space="preserve"> Sheppard MPH, et al.</w:t>
      </w:r>
      <w:r w:rsidR="002F6544" w:rsidRPr="00AC52C1">
        <w:t>, 2007.</w:t>
      </w:r>
      <w:r w:rsidRPr="00AC52C1">
        <w:t xml:space="preserve"> Long-term exposure to air pollution and incidence of card</w:t>
      </w:r>
      <w:r w:rsidR="002F6544" w:rsidRPr="00AC52C1">
        <w:t xml:space="preserve">iovascular effects in women. </w:t>
      </w:r>
      <w:r w:rsidR="00A36E73" w:rsidRPr="00AC52C1">
        <w:rPr>
          <w:i/>
        </w:rPr>
        <w:t>NEJM</w:t>
      </w:r>
      <w:r w:rsidR="002F6544" w:rsidRPr="00AC52C1">
        <w:t xml:space="preserve"> </w:t>
      </w:r>
      <w:r w:rsidRPr="00AC52C1">
        <w:rPr>
          <w:b/>
        </w:rPr>
        <w:t>356</w:t>
      </w:r>
      <w:r w:rsidR="002F6544" w:rsidRPr="00AC52C1">
        <w:t xml:space="preserve">, </w:t>
      </w:r>
      <w:r w:rsidRPr="00AC52C1">
        <w:t>447</w:t>
      </w:r>
      <w:r w:rsidRPr="00AC52C1">
        <w:rPr>
          <w:rFonts w:cstheme="minorHAnsi"/>
        </w:rPr>
        <w:t>‒</w:t>
      </w:r>
      <w:r w:rsidRPr="00AC52C1">
        <w:t>58.</w:t>
      </w:r>
    </w:p>
    <w:p w14:paraId="54649BEE" w14:textId="77777777" w:rsidR="00A02B15" w:rsidRPr="00AC52C1" w:rsidRDefault="000D276D" w:rsidP="000D276D">
      <w:pPr>
        <w:pStyle w:val="ListParagraph"/>
        <w:numPr>
          <w:ilvl w:val="0"/>
          <w:numId w:val="5"/>
        </w:numPr>
        <w:spacing w:line="240" w:lineRule="auto"/>
      </w:pPr>
      <w:r w:rsidRPr="00AC52C1">
        <w:t xml:space="preserve">Milner J, </w:t>
      </w:r>
      <w:proofErr w:type="spellStart"/>
      <w:r w:rsidRPr="00AC52C1">
        <w:t>Shrubsole</w:t>
      </w:r>
      <w:proofErr w:type="spellEnd"/>
      <w:r w:rsidRPr="00AC52C1">
        <w:t xml:space="preserve"> C, Das P, et al., 2014. Home energy efficiency and radon related risk of lung cancer: modelling study. </w:t>
      </w:r>
      <w:r w:rsidRPr="00AC52C1">
        <w:rPr>
          <w:i/>
        </w:rPr>
        <w:t>BMJ</w:t>
      </w:r>
      <w:r w:rsidRPr="00AC52C1">
        <w:t xml:space="preserve"> </w:t>
      </w:r>
      <w:r w:rsidRPr="00AC52C1">
        <w:rPr>
          <w:b/>
        </w:rPr>
        <w:t>348</w:t>
      </w:r>
      <w:r w:rsidRPr="00AC52C1">
        <w:t>, f7493.</w:t>
      </w:r>
    </w:p>
    <w:p w14:paraId="32BEEA74" w14:textId="77777777" w:rsidR="000E3A81" w:rsidRPr="00AC52C1" w:rsidRDefault="00A36E73" w:rsidP="00412DBB">
      <w:pPr>
        <w:pStyle w:val="ListParagraph"/>
        <w:numPr>
          <w:ilvl w:val="0"/>
          <w:numId w:val="5"/>
        </w:numPr>
        <w:spacing w:line="240" w:lineRule="auto"/>
      </w:pPr>
      <w:r w:rsidRPr="00AC52C1">
        <w:t xml:space="preserve">Milner J, Vardoulakis S, </w:t>
      </w:r>
      <w:proofErr w:type="spellStart"/>
      <w:r w:rsidRPr="00AC52C1">
        <w:t>Chalabi</w:t>
      </w:r>
      <w:proofErr w:type="spellEnd"/>
      <w:r w:rsidR="000E3A81" w:rsidRPr="00AC52C1">
        <w:t xml:space="preserve"> Z</w:t>
      </w:r>
      <w:r w:rsidRPr="00AC52C1">
        <w:t>, Wilkinson P</w:t>
      </w:r>
      <w:r w:rsidR="000E3A81" w:rsidRPr="00AC52C1">
        <w:t xml:space="preserve">, 2011. Modelling inhalation exposure to combustion-related air pollutants in residential buildings: application to health impact assessment. </w:t>
      </w:r>
      <w:r w:rsidR="000E3A81" w:rsidRPr="00AC52C1">
        <w:rPr>
          <w:i/>
        </w:rPr>
        <w:t>Environ</w:t>
      </w:r>
      <w:r w:rsidRPr="00AC52C1">
        <w:rPr>
          <w:i/>
        </w:rPr>
        <w:t xml:space="preserve"> </w:t>
      </w:r>
      <w:proofErr w:type="spellStart"/>
      <w:r w:rsidRPr="00AC52C1">
        <w:rPr>
          <w:i/>
        </w:rPr>
        <w:t>Int</w:t>
      </w:r>
      <w:proofErr w:type="spellEnd"/>
      <w:r w:rsidRPr="00AC52C1">
        <w:t xml:space="preserve"> </w:t>
      </w:r>
      <w:r w:rsidRPr="00AC52C1">
        <w:rPr>
          <w:b/>
        </w:rPr>
        <w:t>37</w:t>
      </w:r>
      <w:r w:rsidRPr="00AC52C1">
        <w:t>, 268–</w:t>
      </w:r>
      <w:r w:rsidR="000E3A81" w:rsidRPr="00AC52C1">
        <w:t>79.</w:t>
      </w:r>
    </w:p>
    <w:p w14:paraId="61353AAE" w14:textId="77777777" w:rsidR="004D2B30" w:rsidRPr="00AC52C1" w:rsidRDefault="004D2B30" w:rsidP="00412DBB">
      <w:pPr>
        <w:pStyle w:val="ListParagraph"/>
        <w:numPr>
          <w:ilvl w:val="0"/>
          <w:numId w:val="5"/>
        </w:numPr>
        <w:spacing w:line="240" w:lineRule="auto"/>
      </w:pPr>
      <w:proofErr w:type="spellStart"/>
      <w:r w:rsidRPr="00AC52C1">
        <w:t>Nusselder</w:t>
      </w:r>
      <w:proofErr w:type="spellEnd"/>
      <w:r w:rsidRPr="00AC52C1">
        <w:t xml:space="preserve"> WJ, </w:t>
      </w:r>
      <w:proofErr w:type="spellStart"/>
      <w:r w:rsidRPr="00AC52C1">
        <w:t>Peeters</w:t>
      </w:r>
      <w:proofErr w:type="spellEnd"/>
      <w:r w:rsidR="00A36E73" w:rsidRPr="00AC52C1">
        <w:t xml:space="preserve"> A</w:t>
      </w:r>
      <w:r w:rsidR="002F6544" w:rsidRPr="00AC52C1">
        <w:t>, 2006.</w:t>
      </w:r>
      <w:r w:rsidRPr="00AC52C1">
        <w:t xml:space="preserve"> Successful aging: measuring the years lived with functional loss. </w:t>
      </w:r>
      <w:r w:rsidRPr="00AC52C1">
        <w:rPr>
          <w:i/>
        </w:rPr>
        <w:t xml:space="preserve">J </w:t>
      </w:r>
      <w:proofErr w:type="spellStart"/>
      <w:r w:rsidRPr="00AC52C1">
        <w:rPr>
          <w:i/>
        </w:rPr>
        <w:t>Epidemiol</w:t>
      </w:r>
      <w:proofErr w:type="spellEnd"/>
      <w:r w:rsidR="002F6544" w:rsidRPr="00AC52C1">
        <w:rPr>
          <w:i/>
        </w:rPr>
        <w:t xml:space="preserve"> Community Health</w:t>
      </w:r>
      <w:r w:rsidR="002F6544" w:rsidRPr="00AC52C1">
        <w:t xml:space="preserve"> </w:t>
      </w:r>
      <w:r w:rsidRPr="00AC52C1">
        <w:rPr>
          <w:b/>
        </w:rPr>
        <w:t>60</w:t>
      </w:r>
      <w:r w:rsidR="002F6544" w:rsidRPr="00AC52C1">
        <w:t xml:space="preserve">, </w:t>
      </w:r>
      <w:r w:rsidRPr="00AC52C1">
        <w:t>448</w:t>
      </w:r>
      <w:r w:rsidRPr="00AC52C1">
        <w:rPr>
          <w:rFonts w:cstheme="minorHAnsi"/>
        </w:rPr>
        <w:t>‒</w:t>
      </w:r>
      <w:r w:rsidRPr="00AC52C1">
        <w:t>55.</w:t>
      </w:r>
    </w:p>
    <w:p w14:paraId="52191D8C" w14:textId="77777777" w:rsidR="004D2B30" w:rsidRPr="00A70AF5" w:rsidRDefault="00FA0999" w:rsidP="00412DBB">
      <w:pPr>
        <w:pStyle w:val="ListParagraph"/>
        <w:numPr>
          <w:ilvl w:val="0"/>
          <w:numId w:val="5"/>
        </w:numPr>
        <w:spacing w:line="240" w:lineRule="auto"/>
      </w:pPr>
      <w:r w:rsidRPr="00AC52C1">
        <w:t xml:space="preserve">Pope </w:t>
      </w:r>
      <w:r w:rsidR="004D2B30" w:rsidRPr="00AC52C1">
        <w:t>CA</w:t>
      </w:r>
      <w:r w:rsidRPr="00AC52C1">
        <w:t xml:space="preserve"> III</w:t>
      </w:r>
      <w:r w:rsidR="004D2B30" w:rsidRPr="00AC52C1">
        <w:t>, Burnett RT, Thun M</w:t>
      </w:r>
      <w:r w:rsidRPr="00AC52C1">
        <w:t>J</w:t>
      </w:r>
      <w:r w:rsidR="004D2B30" w:rsidRPr="00AC52C1">
        <w:t>, et al.</w:t>
      </w:r>
      <w:r w:rsidR="002F6544" w:rsidRPr="00AC52C1">
        <w:t>, 2002</w:t>
      </w:r>
      <w:r w:rsidR="002F6544">
        <w:t>.</w:t>
      </w:r>
      <w:r w:rsidR="004D2B30" w:rsidRPr="00A70AF5">
        <w:t xml:space="preserve"> Lung cancer, cardiopulmonary mortality, and long-term exposure to fine parti</w:t>
      </w:r>
      <w:r w:rsidR="002F6544">
        <w:t xml:space="preserve">culate air pollution. </w:t>
      </w:r>
      <w:r w:rsidR="002F6544" w:rsidRPr="00FA0999">
        <w:rPr>
          <w:i/>
        </w:rPr>
        <w:t>JAMA</w:t>
      </w:r>
      <w:r w:rsidR="002F6544" w:rsidRPr="002F6544">
        <w:t xml:space="preserve"> </w:t>
      </w:r>
      <w:r w:rsidR="004D2B30" w:rsidRPr="00FA0999">
        <w:rPr>
          <w:b/>
        </w:rPr>
        <w:t>287</w:t>
      </w:r>
      <w:r w:rsidR="002F6544" w:rsidRPr="002F6544">
        <w:t xml:space="preserve">, </w:t>
      </w:r>
      <w:r w:rsidR="004D2B30" w:rsidRPr="002F6544">
        <w:t>1132</w:t>
      </w:r>
      <w:r w:rsidR="004D2B30" w:rsidRPr="00A70AF5">
        <w:rPr>
          <w:rFonts w:cstheme="minorHAnsi"/>
        </w:rPr>
        <w:t>‒</w:t>
      </w:r>
      <w:r w:rsidR="004D2B30" w:rsidRPr="00A70AF5">
        <w:t>41.</w:t>
      </w:r>
    </w:p>
    <w:p w14:paraId="288F52C3" w14:textId="77777777" w:rsidR="004D2B30" w:rsidRPr="00A70AF5" w:rsidRDefault="00FA0999" w:rsidP="00412DBB">
      <w:pPr>
        <w:pStyle w:val="ListParagraph"/>
        <w:numPr>
          <w:ilvl w:val="0"/>
          <w:numId w:val="5"/>
        </w:numPr>
        <w:spacing w:line="240" w:lineRule="auto"/>
      </w:pPr>
      <w:r>
        <w:t xml:space="preserve">Pope </w:t>
      </w:r>
      <w:r w:rsidR="004D2B30" w:rsidRPr="00A70AF5">
        <w:t>CA</w:t>
      </w:r>
      <w:r>
        <w:t xml:space="preserve"> III</w:t>
      </w:r>
      <w:r w:rsidR="004D2B30" w:rsidRPr="00A70AF5">
        <w:t>, Burnett RT, Thurston GD, et al.</w:t>
      </w:r>
      <w:r w:rsidR="002F6544">
        <w:t>, 2004.</w:t>
      </w:r>
      <w:r w:rsidR="004D2B30" w:rsidRPr="00A70AF5">
        <w:t xml:space="preserve"> Cardiovascular mortality and long-term exposure to particulate </w:t>
      </w:r>
      <w:r w:rsidR="002F6544">
        <w:t xml:space="preserve">air pollution. </w:t>
      </w:r>
      <w:r w:rsidR="002F6544" w:rsidRPr="00FA0999">
        <w:rPr>
          <w:i/>
        </w:rPr>
        <w:t>Circulation</w:t>
      </w:r>
      <w:r w:rsidR="002F6544" w:rsidRPr="002F6544">
        <w:t xml:space="preserve"> </w:t>
      </w:r>
      <w:r w:rsidR="004D2B30" w:rsidRPr="00FA0999">
        <w:rPr>
          <w:b/>
        </w:rPr>
        <w:t>109</w:t>
      </w:r>
      <w:r w:rsidR="002F6544" w:rsidRPr="002F6544">
        <w:t xml:space="preserve">, </w:t>
      </w:r>
      <w:r w:rsidR="004D2B30" w:rsidRPr="002F6544">
        <w:t>71</w:t>
      </w:r>
      <w:r w:rsidR="004D2B30" w:rsidRPr="002F6544">
        <w:rPr>
          <w:rFonts w:cstheme="minorHAnsi"/>
        </w:rPr>
        <w:t>‒</w:t>
      </w:r>
      <w:r w:rsidR="004D2B30" w:rsidRPr="00A70AF5">
        <w:t>7.</w:t>
      </w:r>
    </w:p>
    <w:p w14:paraId="1D66C095" w14:textId="77777777" w:rsidR="004D2B30" w:rsidRPr="007B0F88" w:rsidRDefault="002F6544" w:rsidP="00412DBB">
      <w:pPr>
        <w:pStyle w:val="ListParagraph"/>
        <w:numPr>
          <w:ilvl w:val="0"/>
          <w:numId w:val="5"/>
        </w:numPr>
        <w:spacing w:line="240" w:lineRule="auto"/>
      </w:pPr>
      <w:r>
        <w:t>R Core Team, 2012.</w:t>
      </w:r>
      <w:r w:rsidR="004D2B30">
        <w:t xml:space="preserve"> </w:t>
      </w:r>
      <w:r w:rsidR="004D2B30" w:rsidRPr="00FA0999">
        <w:rPr>
          <w:i/>
        </w:rPr>
        <w:t xml:space="preserve">R: A language and </w:t>
      </w:r>
      <w:r w:rsidRPr="00FA0999">
        <w:rPr>
          <w:i/>
        </w:rPr>
        <w:t>E</w:t>
      </w:r>
      <w:r w:rsidR="004D2B30" w:rsidRPr="00FA0999">
        <w:rPr>
          <w:i/>
        </w:rPr>
        <w:t xml:space="preserve">nvironment for </w:t>
      </w:r>
      <w:r w:rsidRPr="00FA0999">
        <w:rPr>
          <w:i/>
        </w:rPr>
        <w:t>S</w:t>
      </w:r>
      <w:r w:rsidR="004D2B30" w:rsidRPr="00FA0999">
        <w:rPr>
          <w:i/>
        </w:rPr>
        <w:t xml:space="preserve">tatistical </w:t>
      </w:r>
      <w:r w:rsidRPr="00FA0999">
        <w:rPr>
          <w:i/>
        </w:rPr>
        <w:t>C</w:t>
      </w:r>
      <w:r w:rsidR="004D2B30" w:rsidRPr="00FA0999">
        <w:rPr>
          <w:i/>
        </w:rPr>
        <w:t>omputing</w:t>
      </w:r>
      <w:r w:rsidR="004D2B30" w:rsidRPr="00A54C5A">
        <w:t>. R Foundation for Statistical Computing, Vienna</w:t>
      </w:r>
      <w:r w:rsidR="00FA0999">
        <w:t>, Austria</w:t>
      </w:r>
      <w:r w:rsidR="004D2B30" w:rsidRPr="00A54C5A">
        <w:t>. http://www.R-project.org/</w:t>
      </w:r>
    </w:p>
    <w:p w14:paraId="09F6E162" w14:textId="77777777" w:rsidR="007B0F88" w:rsidRDefault="007B0F88" w:rsidP="00412DBB">
      <w:pPr>
        <w:pStyle w:val="ListParagraph"/>
        <w:numPr>
          <w:ilvl w:val="0"/>
          <w:numId w:val="5"/>
        </w:numPr>
        <w:spacing w:line="240" w:lineRule="auto"/>
      </w:pPr>
      <w:proofErr w:type="spellStart"/>
      <w:r w:rsidRPr="00A70AF5">
        <w:t>Röösli</w:t>
      </w:r>
      <w:proofErr w:type="spellEnd"/>
      <w:r w:rsidRPr="00A70AF5">
        <w:t xml:space="preserve"> M, </w:t>
      </w:r>
      <w:proofErr w:type="spellStart"/>
      <w:r w:rsidRPr="00A70AF5">
        <w:t>Künzli</w:t>
      </w:r>
      <w:proofErr w:type="spellEnd"/>
      <w:r w:rsidRPr="00A70AF5">
        <w:t xml:space="preserve"> N, Braun-</w:t>
      </w:r>
      <w:proofErr w:type="spellStart"/>
      <w:r w:rsidRPr="00A70AF5">
        <w:t>Fahrländer</w:t>
      </w:r>
      <w:proofErr w:type="spellEnd"/>
      <w:r w:rsidRPr="00A70AF5">
        <w:t xml:space="preserve"> C, Egger</w:t>
      </w:r>
      <w:r w:rsidR="00FA0999">
        <w:t xml:space="preserve"> M</w:t>
      </w:r>
      <w:r w:rsidR="002F6544">
        <w:t>, 2005.</w:t>
      </w:r>
      <w:r w:rsidRPr="00A70AF5">
        <w:t xml:space="preserve"> Years of life lost attributable to air pollution in Switzerland: dynamic exposure-response model. </w:t>
      </w:r>
      <w:proofErr w:type="spellStart"/>
      <w:r w:rsidRPr="00FA0999">
        <w:rPr>
          <w:i/>
        </w:rPr>
        <w:t>Int</w:t>
      </w:r>
      <w:proofErr w:type="spellEnd"/>
      <w:r w:rsidRPr="00FA0999">
        <w:rPr>
          <w:i/>
        </w:rPr>
        <w:t xml:space="preserve"> J </w:t>
      </w:r>
      <w:proofErr w:type="spellStart"/>
      <w:r w:rsidRPr="00FA0999">
        <w:rPr>
          <w:i/>
        </w:rPr>
        <w:t>Epidemiol</w:t>
      </w:r>
      <w:proofErr w:type="spellEnd"/>
      <w:r w:rsidR="002F6544" w:rsidRPr="002F6544">
        <w:t xml:space="preserve"> </w:t>
      </w:r>
      <w:r w:rsidRPr="00FA0999">
        <w:rPr>
          <w:b/>
        </w:rPr>
        <w:t>34</w:t>
      </w:r>
      <w:r w:rsidR="002F6544" w:rsidRPr="002F6544">
        <w:t xml:space="preserve">, </w:t>
      </w:r>
      <w:r w:rsidRPr="002F6544">
        <w:t>1029</w:t>
      </w:r>
      <w:r w:rsidRPr="00A70AF5">
        <w:rPr>
          <w:rFonts w:cstheme="minorHAnsi"/>
        </w:rPr>
        <w:t>‒</w:t>
      </w:r>
      <w:r w:rsidRPr="00A70AF5">
        <w:t>35.</w:t>
      </w:r>
    </w:p>
    <w:p w14:paraId="5F312A7E" w14:textId="77777777" w:rsidR="004D2B30" w:rsidRPr="00752D6C" w:rsidRDefault="004D2B30" w:rsidP="00412DBB">
      <w:pPr>
        <w:pStyle w:val="ListParagraph"/>
        <w:numPr>
          <w:ilvl w:val="0"/>
          <w:numId w:val="5"/>
        </w:numPr>
        <w:spacing w:line="240" w:lineRule="auto"/>
      </w:pPr>
      <w:proofErr w:type="spellStart"/>
      <w:r w:rsidRPr="007B0F88">
        <w:t>Schram-Bijkerk</w:t>
      </w:r>
      <w:proofErr w:type="spellEnd"/>
      <w:r w:rsidRPr="007B0F88">
        <w:t xml:space="preserve"> D, van </w:t>
      </w:r>
      <w:proofErr w:type="spellStart"/>
      <w:r w:rsidRPr="007B0F88">
        <w:t>Kempen</w:t>
      </w:r>
      <w:proofErr w:type="spellEnd"/>
      <w:r w:rsidRPr="007B0F88">
        <w:t xml:space="preserve"> EEM</w:t>
      </w:r>
      <w:r w:rsidR="00FA0999">
        <w:t>M</w:t>
      </w:r>
      <w:r w:rsidRPr="007B0F88">
        <w:t xml:space="preserve">, </w:t>
      </w:r>
      <w:proofErr w:type="spellStart"/>
      <w:r w:rsidRPr="007B0F88">
        <w:t>Knol</w:t>
      </w:r>
      <w:proofErr w:type="spellEnd"/>
      <w:r w:rsidRPr="007B0F88">
        <w:t xml:space="preserve"> A</w:t>
      </w:r>
      <w:r w:rsidR="00FA0999">
        <w:t>B</w:t>
      </w:r>
      <w:r w:rsidR="002F6544">
        <w:t>, 2013.</w:t>
      </w:r>
      <w:r w:rsidRPr="007B0F88">
        <w:t xml:space="preserve"> The burden of disease related to </w:t>
      </w:r>
      <w:r w:rsidRPr="00752D6C">
        <w:t xml:space="preserve">indoor air in the Netherlands: do different methods lead to different results? </w:t>
      </w:r>
      <w:proofErr w:type="spellStart"/>
      <w:r w:rsidRPr="00752D6C">
        <w:rPr>
          <w:i/>
        </w:rPr>
        <w:t>Occup</w:t>
      </w:r>
      <w:proofErr w:type="spellEnd"/>
      <w:r w:rsidRPr="00752D6C">
        <w:rPr>
          <w:i/>
        </w:rPr>
        <w:t xml:space="preserve"> Environ Med</w:t>
      </w:r>
      <w:r w:rsidR="002F6544" w:rsidRPr="00752D6C">
        <w:t xml:space="preserve"> </w:t>
      </w:r>
      <w:r w:rsidRPr="00752D6C">
        <w:rPr>
          <w:b/>
        </w:rPr>
        <w:t>70</w:t>
      </w:r>
      <w:r w:rsidR="002F6544" w:rsidRPr="00752D6C">
        <w:t xml:space="preserve">, </w:t>
      </w:r>
      <w:r w:rsidRPr="00752D6C">
        <w:t>126</w:t>
      </w:r>
      <w:r w:rsidRPr="00752D6C">
        <w:rPr>
          <w:rFonts w:cstheme="minorHAnsi"/>
        </w:rPr>
        <w:t>‒</w:t>
      </w:r>
      <w:r w:rsidRPr="00752D6C">
        <w:t>32.</w:t>
      </w:r>
    </w:p>
    <w:p w14:paraId="7C37FEF5" w14:textId="77777777" w:rsidR="004D2B30" w:rsidRPr="00752D6C" w:rsidRDefault="004D2B30" w:rsidP="00412DBB">
      <w:pPr>
        <w:pStyle w:val="ListParagraph"/>
        <w:numPr>
          <w:ilvl w:val="0"/>
          <w:numId w:val="5"/>
        </w:numPr>
        <w:spacing w:line="240" w:lineRule="auto"/>
      </w:pPr>
      <w:r w:rsidRPr="00752D6C">
        <w:t xml:space="preserve">Sears MR, Greene JM, </w:t>
      </w:r>
      <w:proofErr w:type="spellStart"/>
      <w:r w:rsidRPr="00752D6C">
        <w:t>Willan</w:t>
      </w:r>
      <w:proofErr w:type="spellEnd"/>
      <w:r w:rsidRPr="00752D6C">
        <w:t xml:space="preserve"> AR, et al.</w:t>
      </w:r>
      <w:r w:rsidR="005244F1" w:rsidRPr="00752D6C">
        <w:t>, 2003.</w:t>
      </w:r>
      <w:r w:rsidRPr="00752D6C">
        <w:t xml:space="preserve"> A longitudinal, population-based, cohort study of childhood asthma followed to adulthood. </w:t>
      </w:r>
      <w:r w:rsidR="00D707F8" w:rsidRPr="00752D6C">
        <w:rPr>
          <w:i/>
        </w:rPr>
        <w:t>NEJM</w:t>
      </w:r>
      <w:r w:rsidR="005244F1" w:rsidRPr="00752D6C">
        <w:t xml:space="preserve"> </w:t>
      </w:r>
      <w:r w:rsidRPr="00752D6C">
        <w:rPr>
          <w:b/>
        </w:rPr>
        <w:t>349</w:t>
      </w:r>
      <w:r w:rsidR="005244F1" w:rsidRPr="00752D6C">
        <w:t xml:space="preserve">, </w:t>
      </w:r>
      <w:r w:rsidRPr="00752D6C">
        <w:t>1414</w:t>
      </w:r>
      <w:r w:rsidRPr="00752D6C">
        <w:rPr>
          <w:rFonts w:cstheme="minorHAnsi"/>
        </w:rPr>
        <w:t>‒</w:t>
      </w:r>
      <w:r w:rsidRPr="00752D6C">
        <w:t>22.</w:t>
      </w:r>
    </w:p>
    <w:p w14:paraId="0B3CFF62" w14:textId="77777777" w:rsidR="000D276D" w:rsidRPr="00752D6C" w:rsidRDefault="000D276D" w:rsidP="000D276D">
      <w:pPr>
        <w:pStyle w:val="ListParagraph"/>
        <w:numPr>
          <w:ilvl w:val="0"/>
          <w:numId w:val="5"/>
        </w:numPr>
        <w:spacing w:line="240" w:lineRule="auto"/>
      </w:pPr>
      <w:proofErr w:type="spellStart"/>
      <w:r w:rsidRPr="00752D6C">
        <w:t>Shrubsole</w:t>
      </w:r>
      <w:proofErr w:type="spellEnd"/>
      <w:r w:rsidRPr="00752D6C">
        <w:t xml:space="preserve"> C, Ridley I, </w:t>
      </w:r>
      <w:proofErr w:type="spellStart"/>
      <w:r w:rsidRPr="00752D6C">
        <w:t>Biddulph</w:t>
      </w:r>
      <w:proofErr w:type="spellEnd"/>
      <w:r w:rsidRPr="00752D6C">
        <w:t xml:space="preserve"> P, et al., 2012. Indoor PM</w:t>
      </w:r>
      <w:r w:rsidRPr="00752D6C">
        <w:rPr>
          <w:vertAlign w:val="subscript"/>
        </w:rPr>
        <w:t>2.5</w:t>
      </w:r>
      <w:r w:rsidRPr="00752D6C">
        <w:t xml:space="preserve"> exposure in London’s domestic stock: </w:t>
      </w:r>
      <w:proofErr w:type="spellStart"/>
      <w:r w:rsidRPr="00752D6C">
        <w:t>modeling</w:t>
      </w:r>
      <w:proofErr w:type="spellEnd"/>
      <w:r w:rsidRPr="00752D6C">
        <w:t xml:space="preserve"> current and future exposures following energy efficient refurbishment. </w:t>
      </w:r>
      <w:proofErr w:type="spellStart"/>
      <w:r w:rsidRPr="00752D6C">
        <w:rPr>
          <w:i/>
        </w:rPr>
        <w:t>Atmos</w:t>
      </w:r>
      <w:proofErr w:type="spellEnd"/>
      <w:r w:rsidRPr="00752D6C">
        <w:rPr>
          <w:i/>
        </w:rPr>
        <w:t xml:space="preserve"> Environ</w:t>
      </w:r>
      <w:r w:rsidRPr="00752D6C">
        <w:t xml:space="preserve"> </w:t>
      </w:r>
      <w:r w:rsidRPr="00752D6C">
        <w:rPr>
          <w:b/>
        </w:rPr>
        <w:t>62</w:t>
      </w:r>
      <w:r w:rsidRPr="00752D6C">
        <w:t>, 336</w:t>
      </w:r>
      <w:r w:rsidRPr="00752D6C">
        <w:rPr>
          <w:rFonts w:cstheme="minorHAnsi"/>
        </w:rPr>
        <w:t>‒</w:t>
      </w:r>
      <w:r w:rsidRPr="00752D6C">
        <w:t>43.</w:t>
      </w:r>
    </w:p>
    <w:p w14:paraId="3E1E082D" w14:textId="77777777" w:rsidR="002F027E" w:rsidRPr="00A70AF5" w:rsidRDefault="00D707F8" w:rsidP="000D276D">
      <w:pPr>
        <w:pStyle w:val="ListParagraph"/>
        <w:numPr>
          <w:ilvl w:val="0"/>
          <w:numId w:val="5"/>
        </w:numPr>
        <w:spacing w:line="240" w:lineRule="auto"/>
      </w:pPr>
      <w:proofErr w:type="spellStart"/>
      <w:r w:rsidRPr="00752D6C">
        <w:t>Simoni</w:t>
      </w:r>
      <w:proofErr w:type="spellEnd"/>
      <w:r w:rsidRPr="00752D6C">
        <w:t xml:space="preserve"> M, </w:t>
      </w:r>
      <w:proofErr w:type="spellStart"/>
      <w:r w:rsidRPr="00752D6C">
        <w:t>Scognamiglio</w:t>
      </w:r>
      <w:proofErr w:type="spellEnd"/>
      <w:r w:rsidRPr="00752D6C">
        <w:t xml:space="preserve"> A, </w:t>
      </w:r>
      <w:proofErr w:type="spellStart"/>
      <w:r w:rsidRPr="00752D6C">
        <w:t>Carrozzi</w:t>
      </w:r>
      <w:proofErr w:type="spellEnd"/>
      <w:r w:rsidRPr="00752D6C">
        <w:t xml:space="preserve"> L</w:t>
      </w:r>
      <w:r w:rsidR="002F027E" w:rsidRPr="00752D6C">
        <w:t>, et al., 2004. Indoor exposures and acute respiratory effects in two general population</w:t>
      </w:r>
      <w:r w:rsidR="002F027E" w:rsidRPr="002F027E">
        <w:t xml:space="preserve"> samples from a ru</w:t>
      </w:r>
      <w:r w:rsidR="002F027E">
        <w:t xml:space="preserve">ral and an urban area in Italy. </w:t>
      </w:r>
      <w:r w:rsidR="002F027E" w:rsidRPr="00D707F8">
        <w:rPr>
          <w:i/>
        </w:rPr>
        <w:t>J</w:t>
      </w:r>
      <w:r w:rsidRPr="00D707F8">
        <w:rPr>
          <w:i/>
        </w:rPr>
        <w:t xml:space="preserve"> Expo Anal Environ</w:t>
      </w:r>
      <w:r w:rsidR="002F027E" w:rsidRPr="00D707F8">
        <w:rPr>
          <w:i/>
        </w:rPr>
        <w:t xml:space="preserve"> </w:t>
      </w:r>
      <w:proofErr w:type="spellStart"/>
      <w:r w:rsidRPr="00D707F8">
        <w:rPr>
          <w:i/>
        </w:rPr>
        <w:t>Epidemiol</w:t>
      </w:r>
      <w:proofErr w:type="spellEnd"/>
      <w:r w:rsidR="002F027E" w:rsidRPr="002F027E">
        <w:t xml:space="preserve"> </w:t>
      </w:r>
      <w:r w:rsidR="002F027E" w:rsidRPr="00D707F8">
        <w:rPr>
          <w:b/>
        </w:rPr>
        <w:t>14</w:t>
      </w:r>
      <w:r w:rsidR="002F027E" w:rsidRPr="002F027E">
        <w:t>, 144</w:t>
      </w:r>
      <w:r w:rsidR="002F027E" w:rsidRPr="00A70AF5">
        <w:rPr>
          <w:rFonts w:cstheme="minorHAnsi"/>
        </w:rPr>
        <w:t>‒</w:t>
      </w:r>
      <w:r w:rsidR="002F027E" w:rsidRPr="002F027E">
        <w:t>52.</w:t>
      </w:r>
    </w:p>
    <w:p w14:paraId="212C7B52" w14:textId="77777777" w:rsidR="004D2B30" w:rsidRPr="00A70AF5" w:rsidRDefault="004D2B30" w:rsidP="00412DBB">
      <w:pPr>
        <w:pStyle w:val="ListParagraph"/>
        <w:numPr>
          <w:ilvl w:val="0"/>
          <w:numId w:val="5"/>
        </w:numPr>
        <w:spacing w:line="240" w:lineRule="auto"/>
      </w:pPr>
      <w:r w:rsidRPr="00A70AF5">
        <w:t xml:space="preserve">Strachan DP, </w:t>
      </w:r>
      <w:proofErr w:type="spellStart"/>
      <w:r w:rsidRPr="00A70AF5">
        <w:t>Butland</w:t>
      </w:r>
      <w:proofErr w:type="spellEnd"/>
      <w:r w:rsidRPr="00A70AF5">
        <w:t xml:space="preserve"> BK, Anderson H</w:t>
      </w:r>
      <w:r w:rsidR="00D707F8">
        <w:t>R</w:t>
      </w:r>
      <w:r w:rsidR="006F27D4">
        <w:t>, 1996.</w:t>
      </w:r>
      <w:r w:rsidRPr="00A70AF5">
        <w:t xml:space="preserve"> Incidence and prognosis of asthma and wheezing illness from early childhood to age 33 in a national British </w:t>
      </w:r>
      <w:r w:rsidRPr="006F27D4">
        <w:t xml:space="preserve">cohort. </w:t>
      </w:r>
      <w:r w:rsidR="00D707F8" w:rsidRPr="00D707F8">
        <w:rPr>
          <w:i/>
        </w:rPr>
        <w:t>BMJ</w:t>
      </w:r>
      <w:r w:rsidR="006F27D4" w:rsidRPr="006F27D4">
        <w:t xml:space="preserve"> </w:t>
      </w:r>
      <w:r w:rsidRPr="00D707F8">
        <w:rPr>
          <w:b/>
        </w:rPr>
        <w:t>312</w:t>
      </w:r>
      <w:r w:rsidR="006F27D4" w:rsidRPr="006F27D4">
        <w:t>,</w:t>
      </w:r>
      <w:r w:rsidR="006F27D4">
        <w:rPr>
          <w:b/>
        </w:rPr>
        <w:t xml:space="preserve"> </w:t>
      </w:r>
      <w:r w:rsidRPr="00A70AF5">
        <w:t>1195</w:t>
      </w:r>
      <w:r w:rsidRPr="00A70AF5">
        <w:rPr>
          <w:rFonts w:cstheme="minorHAnsi"/>
        </w:rPr>
        <w:t>‒</w:t>
      </w:r>
      <w:r w:rsidRPr="00A70AF5">
        <w:t>9.</w:t>
      </w:r>
    </w:p>
    <w:p w14:paraId="4283AB84" w14:textId="77777777" w:rsidR="004D2B30" w:rsidRPr="006F27D4" w:rsidRDefault="004D2B30" w:rsidP="00412DBB">
      <w:pPr>
        <w:pStyle w:val="ListParagraph"/>
        <w:numPr>
          <w:ilvl w:val="0"/>
          <w:numId w:val="5"/>
        </w:numPr>
        <w:spacing w:line="240" w:lineRule="auto"/>
      </w:pPr>
      <w:r w:rsidRPr="00A70AF5">
        <w:t>Sutcliffe SJ, Fox KF, Wood DA, et al.</w:t>
      </w:r>
      <w:r w:rsidR="006F27D4">
        <w:t>, 2003.</w:t>
      </w:r>
      <w:r w:rsidRPr="00A70AF5">
        <w:t xml:space="preserve"> Incidence of coronary heart disease in a health authority in London: review of a co</w:t>
      </w:r>
      <w:r w:rsidR="006F27D4">
        <w:t xml:space="preserve">mmunity </w:t>
      </w:r>
      <w:r w:rsidR="006F27D4" w:rsidRPr="006F27D4">
        <w:t xml:space="preserve">register. </w:t>
      </w:r>
      <w:r w:rsidR="00D707F8" w:rsidRPr="00D707F8">
        <w:rPr>
          <w:i/>
        </w:rPr>
        <w:t>BMJ</w:t>
      </w:r>
      <w:r w:rsidR="006F27D4" w:rsidRPr="006F27D4">
        <w:t xml:space="preserve"> </w:t>
      </w:r>
      <w:r w:rsidRPr="00D707F8">
        <w:rPr>
          <w:b/>
        </w:rPr>
        <w:t>326</w:t>
      </w:r>
      <w:r w:rsidR="006F27D4" w:rsidRPr="006F27D4">
        <w:t xml:space="preserve">, </w:t>
      </w:r>
      <w:r w:rsidRPr="006F27D4">
        <w:t>320.</w:t>
      </w:r>
    </w:p>
    <w:p w14:paraId="5057BFAB" w14:textId="77777777" w:rsidR="00CE4A21" w:rsidRPr="006F27D4" w:rsidRDefault="00CE4A21" w:rsidP="00412DBB">
      <w:pPr>
        <w:pStyle w:val="ListParagraph"/>
        <w:numPr>
          <w:ilvl w:val="0"/>
          <w:numId w:val="5"/>
        </w:numPr>
        <w:spacing w:line="240" w:lineRule="auto"/>
      </w:pPr>
      <w:r w:rsidRPr="00A70AF5">
        <w:t xml:space="preserve">Tonne C, </w:t>
      </w:r>
      <w:proofErr w:type="spellStart"/>
      <w:r w:rsidRPr="00A70AF5">
        <w:t>Beevers</w:t>
      </w:r>
      <w:proofErr w:type="spellEnd"/>
      <w:r w:rsidRPr="00A70AF5">
        <w:t xml:space="preserve"> S, Armstrong BG, </w:t>
      </w:r>
      <w:r w:rsidR="00A70AF5" w:rsidRPr="00A70AF5">
        <w:t>et al</w:t>
      </w:r>
      <w:r w:rsidRPr="00A70AF5">
        <w:t>.</w:t>
      </w:r>
      <w:r w:rsidR="006F27D4">
        <w:t>, 2008.</w:t>
      </w:r>
      <w:r w:rsidRPr="00A70AF5">
        <w:t xml:space="preserve"> Air pollution and mortality benefits of the London Congestion Charge: spatial and socioeconomic inequalities. </w:t>
      </w:r>
      <w:proofErr w:type="spellStart"/>
      <w:r w:rsidRPr="00D707F8">
        <w:rPr>
          <w:i/>
        </w:rPr>
        <w:t>Occup</w:t>
      </w:r>
      <w:proofErr w:type="spellEnd"/>
      <w:r w:rsidRPr="00D707F8">
        <w:rPr>
          <w:i/>
        </w:rPr>
        <w:t xml:space="preserve"> Environ Med</w:t>
      </w:r>
      <w:r w:rsidR="006F27D4" w:rsidRPr="006F27D4">
        <w:t xml:space="preserve"> </w:t>
      </w:r>
      <w:r w:rsidRPr="00D707F8">
        <w:rPr>
          <w:b/>
        </w:rPr>
        <w:t>65</w:t>
      </w:r>
      <w:r w:rsidR="006F27D4" w:rsidRPr="006F27D4">
        <w:t xml:space="preserve">, </w:t>
      </w:r>
      <w:r w:rsidRPr="006F27D4">
        <w:t>620</w:t>
      </w:r>
      <w:r w:rsidR="00A70AF5" w:rsidRPr="006F27D4">
        <w:rPr>
          <w:rFonts w:cstheme="minorHAnsi"/>
        </w:rPr>
        <w:t>‒</w:t>
      </w:r>
      <w:r w:rsidRPr="006F27D4">
        <w:t>7.</w:t>
      </w:r>
    </w:p>
    <w:p w14:paraId="5160DF5B" w14:textId="77777777" w:rsidR="004D2B30" w:rsidRPr="00A70AF5" w:rsidRDefault="006F27D4" w:rsidP="00412DBB">
      <w:pPr>
        <w:pStyle w:val="ListParagraph"/>
        <w:numPr>
          <w:ilvl w:val="0"/>
          <w:numId w:val="5"/>
        </w:numPr>
        <w:spacing w:line="240" w:lineRule="auto"/>
      </w:pPr>
      <w:r>
        <w:t>US EPA, 2009.</w:t>
      </w:r>
      <w:r w:rsidR="004D2B30" w:rsidRPr="00A70AF5">
        <w:t xml:space="preserve"> </w:t>
      </w:r>
      <w:r w:rsidR="004D2B30" w:rsidRPr="00251ADE">
        <w:rPr>
          <w:i/>
        </w:rPr>
        <w:t>Integrated Science Assessment for Particulate Matter</w:t>
      </w:r>
      <w:r w:rsidR="004D2B30" w:rsidRPr="00A70AF5">
        <w:t>. United States Environmental Protection Agency</w:t>
      </w:r>
      <w:r>
        <w:t xml:space="preserve">, </w:t>
      </w:r>
      <w:r w:rsidRPr="00A70AF5">
        <w:t xml:space="preserve">Research Triangle Park, </w:t>
      </w:r>
      <w:r>
        <w:t>NC,</w:t>
      </w:r>
      <w:r w:rsidR="004D2B30" w:rsidRPr="00A70AF5">
        <w:t xml:space="preserve"> </w:t>
      </w:r>
      <w:r w:rsidR="00251ADE">
        <w:t>USA</w:t>
      </w:r>
      <w:r w:rsidR="004D2B30" w:rsidRPr="00A70AF5">
        <w:t>.</w:t>
      </w:r>
    </w:p>
    <w:p w14:paraId="0C6596E7" w14:textId="77777777" w:rsidR="004D2B30" w:rsidRDefault="004D2B30" w:rsidP="00412DBB">
      <w:pPr>
        <w:pStyle w:val="ListParagraph"/>
        <w:numPr>
          <w:ilvl w:val="0"/>
          <w:numId w:val="5"/>
        </w:numPr>
        <w:spacing w:line="240" w:lineRule="auto"/>
      </w:pPr>
      <w:proofErr w:type="spellStart"/>
      <w:r w:rsidRPr="00A70AF5">
        <w:t>Veerman</w:t>
      </w:r>
      <w:proofErr w:type="spellEnd"/>
      <w:r w:rsidRPr="00A70AF5">
        <w:t xml:space="preserve"> JL, </w:t>
      </w:r>
      <w:proofErr w:type="spellStart"/>
      <w:r w:rsidRPr="00A70AF5">
        <w:t>Barendregt</w:t>
      </w:r>
      <w:proofErr w:type="spellEnd"/>
      <w:r w:rsidRPr="00A70AF5">
        <w:t xml:space="preserve"> JJ, </w:t>
      </w:r>
      <w:proofErr w:type="spellStart"/>
      <w:r w:rsidRPr="00A70AF5">
        <w:t>Mackenbach</w:t>
      </w:r>
      <w:proofErr w:type="spellEnd"/>
      <w:r w:rsidRPr="00A70AF5">
        <w:t xml:space="preserve"> J</w:t>
      </w:r>
      <w:r w:rsidR="00251ADE">
        <w:t>P</w:t>
      </w:r>
      <w:r w:rsidR="006F27D4">
        <w:t>, 2005.</w:t>
      </w:r>
      <w:r w:rsidRPr="00A70AF5">
        <w:t xml:space="preserve"> Quantitative health impact assessment: current </w:t>
      </w:r>
      <w:r w:rsidRPr="007B0F88">
        <w:t xml:space="preserve">practice and future directions. </w:t>
      </w:r>
      <w:r w:rsidRPr="00251ADE">
        <w:rPr>
          <w:i/>
        </w:rPr>
        <w:t xml:space="preserve">J </w:t>
      </w:r>
      <w:proofErr w:type="spellStart"/>
      <w:r w:rsidRPr="00251ADE">
        <w:rPr>
          <w:i/>
        </w:rPr>
        <w:t>Epidemiol</w:t>
      </w:r>
      <w:proofErr w:type="spellEnd"/>
      <w:r w:rsidR="006F27D4" w:rsidRPr="00251ADE">
        <w:rPr>
          <w:i/>
        </w:rPr>
        <w:t xml:space="preserve"> Community Health</w:t>
      </w:r>
      <w:r w:rsidR="006F27D4" w:rsidRPr="006F27D4">
        <w:t xml:space="preserve"> </w:t>
      </w:r>
      <w:r w:rsidRPr="00251ADE">
        <w:rPr>
          <w:b/>
        </w:rPr>
        <w:t>59</w:t>
      </w:r>
      <w:r w:rsidR="006F27D4" w:rsidRPr="006F27D4">
        <w:t>,</w:t>
      </w:r>
      <w:r w:rsidR="006F27D4">
        <w:rPr>
          <w:b/>
        </w:rPr>
        <w:t xml:space="preserve"> </w:t>
      </w:r>
      <w:r w:rsidRPr="007B0F88">
        <w:t>361</w:t>
      </w:r>
      <w:r w:rsidRPr="007B0F88">
        <w:rPr>
          <w:rFonts w:cstheme="minorHAnsi"/>
        </w:rPr>
        <w:t>‒</w:t>
      </w:r>
      <w:r w:rsidRPr="007B0F88">
        <w:t>70.</w:t>
      </w:r>
    </w:p>
    <w:p w14:paraId="305AE486" w14:textId="77777777" w:rsidR="004D2B30" w:rsidRPr="00A70AF5" w:rsidRDefault="004D2B30" w:rsidP="00412DBB">
      <w:pPr>
        <w:pStyle w:val="ListParagraph"/>
        <w:numPr>
          <w:ilvl w:val="0"/>
          <w:numId w:val="5"/>
        </w:numPr>
        <w:spacing w:line="240" w:lineRule="auto"/>
      </w:pPr>
      <w:r w:rsidRPr="00A70AF5">
        <w:lastRenderedPageBreak/>
        <w:t>WHO</w:t>
      </w:r>
      <w:r w:rsidR="006F27D4">
        <w:t>, 2008</w:t>
      </w:r>
      <w:r w:rsidRPr="00A70AF5">
        <w:t xml:space="preserve">. </w:t>
      </w:r>
      <w:r w:rsidRPr="00251ADE">
        <w:rPr>
          <w:i/>
        </w:rPr>
        <w:t>Global Burden of Disease 2004 Update: Disability Weights for Diseases and Conditions</w:t>
      </w:r>
      <w:r w:rsidRPr="00A70AF5">
        <w:t xml:space="preserve">. </w:t>
      </w:r>
      <w:r w:rsidR="00DA2FAE">
        <w:t>World Health Organization</w:t>
      </w:r>
      <w:r w:rsidR="006F27D4">
        <w:t xml:space="preserve">, </w:t>
      </w:r>
      <w:r w:rsidRPr="00A70AF5">
        <w:t>Geneva</w:t>
      </w:r>
      <w:r w:rsidR="00251ADE">
        <w:t>, Switzerland</w:t>
      </w:r>
      <w:r w:rsidRPr="00A70AF5">
        <w:t>.</w:t>
      </w:r>
    </w:p>
    <w:p w14:paraId="29FDC2E5" w14:textId="77777777" w:rsidR="007D106A" w:rsidRPr="00A70AF5" w:rsidRDefault="007D106A" w:rsidP="00412DBB">
      <w:pPr>
        <w:pStyle w:val="ListParagraph"/>
        <w:numPr>
          <w:ilvl w:val="0"/>
          <w:numId w:val="5"/>
        </w:numPr>
        <w:spacing w:line="240" w:lineRule="auto"/>
      </w:pPr>
      <w:r w:rsidRPr="00A70AF5">
        <w:rPr>
          <w:lang w:val="fr-FR"/>
        </w:rPr>
        <w:t xml:space="preserve">Wilkinson P, Smith KR, Davies M, et </w:t>
      </w:r>
      <w:proofErr w:type="gramStart"/>
      <w:r w:rsidRPr="00A70AF5">
        <w:rPr>
          <w:lang w:val="fr-FR"/>
        </w:rPr>
        <w:t>al.</w:t>
      </w:r>
      <w:r w:rsidR="006F27D4">
        <w:rPr>
          <w:lang w:val="fr-FR"/>
        </w:rPr>
        <w:t>,</w:t>
      </w:r>
      <w:proofErr w:type="gramEnd"/>
      <w:r w:rsidR="006F27D4">
        <w:rPr>
          <w:lang w:val="fr-FR"/>
        </w:rPr>
        <w:t xml:space="preserve"> 2009.</w:t>
      </w:r>
      <w:r w:rsidRPr="00A70AF5">
        <w:rPr>
          <w:lang w:val="fr-FR"/>
        </w:rPr>
        <w:t xml:space="preserve"> </w:t>
      </w:r>
      <w:r w:rsidRPr="00A70AF5">
        <w:t xml:space="preserve">Public health benefits of strategies to reduce greenhouse-gas emissions: household energy. </w:t>
      </w:r>
      <w:r w:rsidRPr="00251ADE">
        <w:rPr>
          <w:i/>
        </w:rPr>
        <w:t>Lancet</w:t>
      </w:r>
      <w:r w:rsidRPr="006F27D4">
        <w:t xml:space="preserve"> </w:t>
      </w:r>
      <w:r w:rsidRPr="00251ADE">
        <w:rPr>
          <w:b/>
        </w:rPr>
        <w:t>374</w:t>
      </w:r>
      <w:r w:rsidR="006F27D4" w:rsidRPr="006F27D4">
        <w:t xml:space="preserve">, </w:t>
      </w:r>
      <w:r w:rsidRPr="006F27D4">
        <w:t>1917</w:t>
      </w:r>
      <w:r w:rsidR="00A70AF5" w:rsidRPr="006F27D4">
        <w:rPr>
          <w:rFonts w:cstheme="minorHAnsi"/>
        </w:rPr>
        <w:t>‒</w:t>
      </w:r>
      <w:r w:rsidRPr="006F27D4">
        <w:t>29.</w:t>
      </w:r>
    </w:p>
    <w:p w14:paraId="072A9958" w14:textId="77777777" w:rsidR="00C85855" w:rsidRDefault="00C85855" w:rsidP="00412DBB">
      <w:pPr>
        <w:spacing w:line="240" w:lineRule="auto"/>
        <w:rPr>
          <w:b/>
        </w:rPr>
      </w:pPr>
      <w:r>
        <w:rPr>
          <w:b/>
        </w:rPr>
        <w:br w:type="page"/>
      </w:r>
    </w:p>
    <w:p w14:paraId="084989C2" w14:textId="77777777" w:rsidR="00C85855" w:rsidRPr="00710182" w:rsidRDefault="000058CD" w:rsidP="00412DBB">
      <w:pPr>
        <w:spacing w:line="240" w:lineRule="auto"/>
        <w:rPr>
          <w:b/>
          <w:sz w:val="24"/>
          <w:szCs w:val="24"/>
        </w:rPr>
      </w:pPr>
      <w:r w:rsidRPr="00710182">
        <w:rPr>
          <w:b/>
          <w:sz w:val="24"/>
          <w:szCs w:val="24"/>
        </w:rPr>
        <w:lastRenderedPageBreak/>
        <w:t>Figure captions</w:t>
      </w:r>
    </w:p>
    <w:p w14:paraId="08368137" w14:textId="77777777" w:rsidR="00C85855" w:rsidRDefault="00EA4FD8" w:rsidP="00412DBB">
      <w:pPr>
        <w:spacing w:line="240" w:lineRule="auto"/>
      </w:pPr>
      <w:r>
        <w:rPr>
          <w:b/>
        </w:rPr>
        <w:t>Fig.</w:t>
      </w:r>
      <w:r w:rsidR="00C85855" w:rsidRPr="00094632">
        <w:rPr>
          <w:b/>
        </w:rPr>
        <w:t xml:space="preserve"> 1</w:t>
      </w:r>
      <w:r w:rsidR="00512919">
        <w:rPr>
          <w:b/>
        </w:rPr>
        <w:t>.</w:t>
      </w:r>
      <w:r w:rsidR="00C85855" w:rsidRPr="00094632">
        <w:rPr>
          <w:b/>
        </w:rPr>
        <w:t xml:space="preserve"> </w:t>
      </w:r>
      <w:r w:rsidR="00D57ED1" w:rsidRPr="007B5FD3">
        <w:t xml:space="preserve">Health states and pathways </w:t>
      </w:r>
      <w:r w:rsidR="00D57ED1">
        <w:t xml:space="preserve">used </w:t>
      </w:r>
      <w:r w:rsidR="00D57ED1" w:rsidRPr="007B5FD3">
        <w:t>in multistate life ta</w:t>
      </w:r>
      <w:r w:rsidR="00D57ED1">
        <w:t>ble to model impact of intervention</w:t>
      </w:r>
      <w:r w:rsidR="00D57ED1" w:rsidRPr="007B5FD3">
        <w:t>.</w:t>
      </w:r>
    </w:p>
    <w:p w14:paraId="2E07D520" w14:textId="77777777" w:rsidR="00C85855" w:rsidRDefault="00C85855" w:rsidP="00412DBB">
      <w:pPr>
        <w:spacing w:line="240" w:lineRule="auto"/>
      </w:pPr>
      <w:r w:rsidRPr="00094632">
        <w:rPr>
          <w:b/>
        </w:rPr>
        <w:t>F</w:t>
      </w:r>
      <w:r w:rsidR="00EA4FD8">
        <w:rPr>
          <w:b/>
        </w:rPr>
        <w:t>ig.</w:t>
      </w:r>
      <w:r w:rsidRPr="00094632">
        <w:rPr>
          <w:b/>
        </w:rPr>
        <w:t xml:space="preserve"> 2</w:t>
      </w:r>
      <w:r w:rsidR="00512919">
        <w:rPr>
          <w:b/>
        </w:rPr>
        <w:t>.</w:t>
      </w:r>
      <w:r w:rsidRPr="00094632">
        <w:t xml:space="preserve"> </w:t>
      </w:r>
      <w:r w:rsidR="008110C4" w:rsidRPr="008110C4">
        <w:t>Modelled disease prevalence for asthma, coronary heart disease (CHD) and lung cancer in England and Wales. Also includes comparison of modelled asthma prevalence with and without recovery/relapse included in the simulation.</w:t>
      </w:r>
    </w:p>
    <w:p w14:paraId="7D8804AA" w14:textId="77777777" w:rsidR="00C85855" w:rsidRPr="00A951D6" w:rsidRDefault="00EA4FD8" w:rsidP="00412DBB">
      <w:pPr>
        <w:spacing w:line="240" w:lineRule="auto"/>
      </w:pPr>
      <w:r w:rsidRPr="00A951D6">
        <w:rPr>
          <w:b/>
        </w:rPr>
        <w:t>Fig.</w:t>
      </w:r>
      <w:r w:rsidR="00C85855" w:rsidRPr="00A951D6">
        <w:rPr>
          <w:b/>
        </w:rPr>
        <w:t xml:space="preserve"> 3</w:t>
      </w:r>
      <w:r w:rsidR="00512919" w:rsidRPr="00A951D6">
        <w:rPr>
          <w:b/>
        </w:rPr>
        <w:t>.</w:t>
      </w:r>
      <w:r w:rsidR="00A951D6" w:rsidRPr="00A951D6">
        <w:t xml:space="preserve"> </w:t>
      </w:r>
      <w:r w:rsidR="008110C4">
        <w:t>Impact of intervention on population with</w:t>
      </w:r>
      <w:r w:rsidR="008110C4" w:rsidRPr="008110C4">
        <w:t xml:space="preserve"> asthma</w:t>
      </w:r>
      <w:r w:rsidR="008110C4">
        <w:t xml:space="preserve"> (with and without recovery/relapse)</w:t>
      </w:r>
      <w:r w:rsidR="008110C4" w:rsidRPr="008110C4">
        <w:t>, coronary heart disease and lung cancer prevalence over time in England and Wales.</w:t>
      </w:r>
    </w:p>
    <w:p w14:paraId="6627D801" w14:textId="77777777" w:rsidR="00E016D9" w:rsidRDefault="00EA4FD8" w:rsidP="00412DBB">
      <w:pPr>
        <w:spacing w:line="240" w:lineRule="auto"/>
      </w:pPr>
      <w:r w:rsidRPr="00A951D6">
        <w:rPr>
          <w:b/>
        </w:rPr>
        <w:t>Fig.</w:t>
      </w:r>
      <w:r w:rsidR="00C85855" w:rsidRPr="00A951D6">
        <w:rPr>
          <w:b/>
        </w:rPr>
        <w:t xml:space="preserve"> 4</w:t>
      </w:r>
      <w:r w:rsidR="00512919" w:rsidRPr="00A951D6">
        <w:rPr>
          <w:b/>
        </w:rPr>
        <w:t>.</w:t>
      </w:r>
      <w:r w:rsidR="00C85855" w:rsidRPr="00A951D6">
        <w:t xml:space="preserve"> </w:t>
      </w:r>
      <w:r w:rsidR="00011A82" w:rsidRPr="00011A82">
        <w:t>Changes in population with (a) asthma</w:t>
      </w:r>
      <w:r w:rsidR="00011A82">
        <w:t xml:space="preserve"> (with and without recovery/relapse)</w:t>
      </w:r>
      <w:r w:rsidR="00011A82" w:rsidRPr="00011A82">
        <w:t>, (b) coronary heart disease and (c) lung cancer due to intervention in England and Wales in final year of follow up.</w:t>
      </w:r>
    </w:p>
    <w:p w14:paraId="21968E15" w14:textId="77777777" w:rsidR="00F7306B" w:rsidRDefault="00F7306B" w:rsidP="00412DBB">
      <w:pPr>
        <w:spacing w:line="240" w:lineRule="auto"/>
        <w:sectPr w:rsidR="00F7306B" w:rsidSect="003C314B">
          <w:footerReference w:type="default" r:id="rId13"/>
          <w:pgSz w:w="11906" w:h="16838"/>
          <w:pgMar w:top="1440" w:right="1440" w:bottom="1440" w:left="1440" w:header="709" w:footer="709" w:gutter="0"/>
          <w:lnNumType w:countBy="1" w:restart="continuous"/>
          <w:cols w:space="708"/>
          <w:docGrid w:linePitch="360"/>
        </w:sectPr>
      </w:pPr>
    </w:p>
    <w:p w14:paraId="27D58ECD" w14:textId="77777777" w:rsidR="00E016D9" w:rsidRPr="00094632" w:rsidRDefault="00E016D9" w:rsidP="00412DBB">
      <w:pPr>
        <w:spacing w:line="240" w:lineRule="auto"/>
      </w:pPr>
      <w:r w:rsidRPr="00094632">
        <w:rPr>
          <w:b/>
        </w:rPr>
        <w:lastRenderedPageBreak/>
        <w:t>Table 1</w:t>
      </w:r>
      <w:r w:rsidR="00710182">
        <w:rPr>
          <w:b/>
        </w:rPr>
        <w:t>.</w:t>
      </w:r>
      <w:r w:rsidRPr="00094632">
        <w:t xml:space="preserve"> Input data for home energy efficiency health impact assessment.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331"/>
        <w:gridCol w:w="5473"/>
        <w:gridCol w:w="5419"/>
      </w:tblGrid>
      <w:tr w:rsidR="00E016D9" w:rsidRPr="00094632" w14:paraId="6FF5700D" w14:textId="77777777" w:rsidTr="00675E6A">
        <w:tc>
          <w:tcPr>
            <w:tcW w:w="1951" w:type="dxa"/>
            <w:tcBorders>
              <w:top w:val="single" w:sz="4" w:space="0" w:color="auto"/>
              <w:bottom w:val="single" w:sz="4" w:space="0" w:color="auto"/>
            </w:tcBorders>
          </w:tcPr>
          <w:p w14:paraId="46D419C7" w14:textId="77777777" w:rsidR="00E016D9" w:rsidRPr="00094632" w:rsidRDefault="00E016D9" w:rsidP="002D3A15">
            <w:pPr>
              <w:rPr>
                <w:sz w:val="20"/>
                <w:szCs w:val="20"/>
              </w:rPr>
            </w:pPr>
          </w:p>
          <w:p w14:paraId="51EDAFD3" w14:textId="77777777" w:rsidR="00E016D9" w:rsidRPr="00094632" w:rsidRDefault="00E016D9" w:rsidP="002D3A15">
            <w:pPr>
              <w:rPr>
                <w:sz w:val="20"/>
                <w:szCs w:val="20"/>
              </w:rPr>
            </w:pPr>
            <w:r w:rsidRPr="00094632">
              <w:rPr>
                <w:sz w:val="20"/>
                <w:szCs w:val="20"/>
              </w:rPr>
              <w:t>Parameter</w:t>
            </w:r>
          </w:p>
          <w:p w14:paraId="267F04E6" w14:textId="77777777" w:rsidR="00E016D9" w:rsidRPr="00094632" w:rsidRDefault="00E016D9" w:rsidP="002D3A15">
            <w:pPr>
              <w:rPr>
                <w:sz w:val="20"/>
                <w:szCs w:val="20"/>
              </w:rPr>
            </w:pPr>
          </w:p>
        </w:tc>
        <w:tc>
          <w:tcPr>
            <w:tcW w:w="1331" w:type="dxa"/>
            <w:tcBorders>
              <w:top w:val="single" w:sz="4" w:space="0" w:color="auto"/>
              <w:bottom w:val="single" w:sz="4" w:space="0" w:color="auto"/>
            </w:tcBorders>
          </w:tcPr>
          <w:p w14:paraId="71EBBDD3" w14:textId="77777777" w:rsidR="00E016D9" w:rsidRPr="00094632" w:rsidRDefault="00E016D9" w:rsidP="002D3A15">
            <w:pPr>
              <w:rPr>
                <w:sz w:val="20"/>
                <w:szCs w:val="20"/>
              </w:rPr>
            </w:pPr>
          </w:p>
          <w:p w14:paraId="7BDE326C" w14:textId="77777777" w:rsidR="00E016D9" w:rsidRPr="00094632" w:rsidRDefault="00E016D9" w:rsidP="002D3A15">
            <w:pPr>
              <w:rPr>
                <w:sz w:val="20"/>
                <w:szCs w:val="20"/>
              </w:rPr>
            </w:pPr>
            <w:r w:rsidRPr="00094632">
              <w:rPr>
                <w:sz w:val="20"/>
                <w:szCs w:val="20"/>
              </w:rPr>
              <w:t>Health state</w:t>
            </w:r>
            <w:r w:rsidR="00421B4B">
              <w:rPr>
                <w:sz w:val="20"/>
                <w:szCs w:val="20"/>
              </w:rPr>
              <w:t>s</w:t>
            </w:r>
          </w:p>
          <w:p w14:paraId="1641534C" w14:textId="77777777" w:rsidR="00E016D9" w:rsidRPr="00094632" w:rsidRDefault="00E016D9" w:rsidP="002D3A15">
            <w:pPr>
              <w:rPr>
                <w:sz w:val="20"/>
                <w:szCs w:val="20"/>
              </w:rPr>
            </w:pPr>
          </w:p>
        </w:tc>
        <w:tc>
          <w:tcPr>
            <w:tcW w:w="5473" w:type="dxa"/>
            <w:tcBorders>
              <w:top w:val="single" w:sz="4" w:space="0" w:color="auto"/>
              <w:bottom w:val="single" w:sz="4" w:space="0" w:color="auto"/>
            </w:tcBorders>
          </w:tcPr>
          <w:p w14:paraId="63253A0A" w14:textId="77777777" w:rsidR="00E016D9" w:rsidRPr="00094632" w:rsidRDefault="00E016D9" w:rsidP="002D3A15">
            <w:pPr>
              <w:rPr>
                <w:sz w:val="20"/>
                <w:szCs w:val="20"/>
              </w:rPr>
            </w:pPr>
          </w:p>
          <w:p w14:paraId="26306AA6" w14:textId="77777777" w:rsidR="00E016D9" w:rsidRPr="00094632" w:rsidRDefault="00E016D9" w:rsidP="002D3A15">
            <w:pPr>
              <w:rPr>
                <w:sz w:val="20"/>
                <w:szCs w:val="20"/>
              </w:rPr>
            </w:pPr>
            <w:r w:rsidRPr="00094632">
              <w:rPr>
                <w:sz w:val="20"/>
                <w:szCs w:val="20"/>
              </w:rPr>
              <w:t>Source</w:t>
            </w:r>
          </w:p>
          <w:p w14:paraId="2A78340E" w14:textId="77777777" w:rsidR="00E016D9" w:rsidRPr="00094632" w:rsidRDefault="00E016D9" w:rsidP="002D3A15">
            <w:pPr>
              <w:rPr>
                <w:sz w:val="20"/>
                <w:szCs w:val="20"/>
              </w:rPr>
            </w:pPr>
          </w:p>
        </w:tc>
        <w:tc>
          <w:tcPr>
            <w:tcW w:w="5419" w:type="dxa"/>
            <w:tcBorders>
              <w:top w:val="single" w:sz="4" w:space="0" w:color="auto"/>
              <w:bottom w:val="single" w:sz="4" w:space="0" w:color="auto"/>
            </w:tcBorders>
          </w:tcPr>
          <w:p w14:paraId="6071B714" w14:textId="77777777" w:rsidR="00E016D9" w:rsidRPr="00094632" w:rsidRDefault="00E016D9" w:rsidP="002D3A15">
            <w:pPr>
              <w:rPr>
                <w:sz w:val="20"/>
                <w:szCs w:val="20"/>
              </w:rPr>
            </w:pPr>
          </w:p>
          <w:p w14:paraId="05896ABD" w14:textId="77777777" w:rsidR="00E016D9" w:rsidRPr="00094632" w:rsidRDefault="00E016D9" w:rsidP="002D3A15">
            <w:pPr>
              <w:rPr>
                <w:sz w:val="20"/>
                <w:szCs w:val="20"/>
              </w:rPr>
            </w:pPr>
            <w:r w:rsidRPr="00094632">
              <w:rPr>
                <w:sz w:val="20"/>
                <w:szCs w:val="20"/>
              </w:rPr>
              <w:t>Comments</w:t>
            </w:r>
          </w:p>
          <w:p w14:paraId="03D07A6E" w14:textId="77777777" w:rsidR="00E016D9" w:rsidRPr="00094632" w:rsidRDefault="00E016D9" w:rsidP="002D3A15">
            <w:pPr>
              <w:rPr>
                <w:sz w:val="20"/>
                <w:szCs w:val="20"/>
              </w:rPr>
            </w:pPr>
          </w:p>
        </w:tc>
      </w:tr>
      <w:tr w:rsidR="00E016D9" w:rsidRPr="00094632" w14:paraId="489713FD" w14:textId="77777777" w:rsidTr="00675E6A">
        <w:trPr>
          <w:trHeight w:val="689"/>
        </w:trPr>
        <w:tc>
          <w:tcPr>
            <w:tcW w:w="1951" w:type="dxa"/>
            <w:tcBorders>
              <w:top w:val="single" w:sz="4" w:space="0" w:color="auto"/>
              <w:bottom w:val="nil"/>
            </w:tcBorders>
          </w:tcPr>
          <w:p w14:paraId="35D8955D" w14:textId="77777777" w:rsidR="00E016D9" w:rsidRPr="00094632" w:rsidRDefault="00E016D9" w:rsidP="002D3A15">
            <w:pPr>
              <w:rPr>
                <w:sz w:val="20"/>
                <w:szCs w:val="20"/>
              </w:rPr>
            </w:pPr>
          </w:p>
          <w:p w14:paraId="50E6E754" w14:textId="77777777" w:rsidR="00E016D9" w:rsidRPr="00094632" w:rsidRDefault="00E016D9" w:rsidP="002D3A15">
            <w:pPr>
              <w:rPr>
                <w:sz w:val="20"/>
                <w:szCs w:val="20"/>
              </w:rPr>
            </w:pPr>
            <w:r w:rsidRPr="00094632">
              <w:rPr>
                <w:sz w:val="20"/>
                <w:szCs w:val="20"/>
              </w:rPr>
              <w:t>Population</w:t>
            </w:r>
          </w:p>
        </w:tc>
        <w:tc>
          <w:tcPr>
            <w:tcW w:w="1331" w:type="dxa"/>
            <w:tcBorders>
              <w:top w:val="single" w:sz="4" w:space="0" w:color="auto"/>
              <w:bottom w:val="nil"/>
            </w:tcBorders>
          </w:tcPr>
          <w:p w14:paraId="4545537D" w14:textId="77777777" w:rsidR="00E016D9" w:rsidRPr="00094632" w:rsidRDefault="00E016D9" w:rsidP="002D3A15">
            <w:pPr>
              <w:rPr>
                <w:sz w:val="20"/>
                <w:szCs w:val="20"/>
              </w:rPr>
            </w:pPr>
          </w:p>
          <w:p w14:paraId="0FA0B150" w14:textId="77777777" w:rsidR="00E016D9" w:rsidRPr="00094632" w:rsidRDefault="00E016D9" w:rsidP="002D3A15">
            <w:pPr>
              <w:rPr>
                <w:sz w:val="20"/>
                <w:szCs w:val="20"/>
              </w:rPr>
            </w:pPr>
            <w:r w:rsidRPr="00094632">
              <w:rPr>
                <w:sz w:val="20"/>
                <w:szCs w:val="20"/>
              </w:rPr>
              <w:t>All</w:t>
            </w:r>
          </w:p>
        </w:tc>
        <w:tc>
          <w:tcPr>
            <w:tcW w:w="5473" w:type="dxa"/>
            <w:tcBorders>
              <w:top w:val="single" w:sz="4" w:space="0" w:color="auto"/>
              <w:bottom w:val="nil"/>
            </w:tcBorders>
          </w:tcPr>
          <w:p w14:paraId="22BF07CE" w14:textId="77777777" w:rsidR="00E016D9" w:rsidRPr="00094632" w:rsidRDefault="00E016D9" w:rsidP="002D3A15">
            <w:pPr>
              <w:rPr>
                <w:sz w:val="20"/>
                <w:szCs w:val="20"/>
              </w:rPr>
            </w:pPr>
          </w:p>
          <w:p w14:paraId="159B3717" w14:textId="77777777" w:rsidR="00E016D9" w:rsidRPr="00094632" w:rsidRDefault="00E016D9" w:rsidP="002D3A15">
            <w:pPr>
              <w:rPr>
                <w:sz w:val="20"/>
                <w:szCs w:val="20"/>
              </w:rPr>
            </w:pPr>
            <w:r w:rsidRPr="00094632">
              <w:rPr>
                <w:sz w:val="20"/>
                <w:szCs w:val="20"/>
              </w:rPr>
              <w:t xml:space="preserve">Office for National </w:t>
            </w:r>
            <w:proofErr w:type="spellStart"/>
            <w:r w:rsidRPr="00094632">
              <w:rPr>
                <w:sz w:val="20"/>
                <w:szCs w:val="20"/>
              </w:rPr>
              <w:t>Statistics</w:t>
            </w:r>
            <w:r w:rsidRPr="00094632">
              <w:rPr>
                <w:i/>
                <w:sz w:val="20"/>
                <w:szCs w:val="20"/>
                <w:vertAlign w:val="superscript"/>
              </w:rPr>
              <w:t>a</w:t>
            </w:r>
            <w:proofErr w:type="spellEnd"/>
          </w:p>
        </w:tc>
        <w:tc>
          <w:tcPr>
            <w:tcW w:w="5419" w:type="dxa"/>
            <w:tcBorders>
              <w:top w:val="single" w:sz="4" w:space="0" w:color="auto"/>
              <w:bottom w:val="nil"/>
            </w:tcBorders>
          </w:tcPr>
          <w:p w14:paraId="7E9D2B3E" w14:textId="77777777" w:rsidR="00E016D9" w:rsidRPr="00094632" w:rsidRDefault="00E016D9" w:rsidP="002D3A15">
            <w:pPr>
              <w:rPr>
                <w:sz w:val="20"/>
                <w:szCs w:val="20"/>
              </w:rPr>
            </w:pPr>
          </w:p>
          <w:p w14:paraId="6E90EB12" w14:textId="6213F277" w:rsidR="00E016D9" w:rsidRPr="00094632" w:rsidRDefault="00E016D9" w:rsidP="00146C5C">
            <w:pPr>
              <w:rPr>
                <w:sz w:val="20"/>
                <w:szCs w:val="20"/>
              </w:rPr>
            </w:pPr>
            <w:r w:rsidRPr="00094632">
              <w:rPr>
                <w:sz w:val="20"/>
                <w:szCs w:val="20"/>
              </w:rPr>
              <w:t>2009 estimated mid-year resident population in England and Wales</w:t>
            </w:r>
            <w:r w:rsidR="00BA7194">
              <w:rPr>
                <w:sz w:val="20"/>
                <w:szCs w:val="20"/>
              </w:rPr>
              <w:t xml:space="preserve"> (</w:t>
            </w:r>
            <w:r w:rsidR="00146C5C">
              <w:rPr>
                <w:sz w:val="20"/>
                <w:szCs w:val="20"/>
              </w:rPr>
              <w:t>26.98 million</w:t>
            </w:r>
            <w:r w:rsidR="006C46E7">
              <w:rPr>
                <w:sz w:val="20"/>
                <w:szCs w:val="20"/>
              </w:rPr>
              <w:t xml:space="preserve"> male</w:t>
            </w:r>
            <w:r w:rsidR="00BA7194" w:rsidRPr="00146C5C">
              <w:rPr>
                <w:sz w:val="20"/>
                <w:szCs w:val="20"/>
              </w:rPr>
              <w:t xml:space="preserve">, </w:t>
            </w:r>
            <w:r w:rsidR="00146C5C" w:rsidRPr="00146C5C">
              <w:rPr>
                <w:sz w:val="20"/>
                <w:szCs w:val="20"/>
              </w:rPr>
              <w:t>27.83</w:t>
            </w:r>
            <w:r w:rsidR="00146C5C">
              <w:rPr>
                <w:sz w:val="20"/>
                <w:szCs w:val="20"/>
              </w:rPr>
              <w:t xml:space="preserve"> million</w:t>
            </w:r>
            <w:r w:rsidR="006C46E7">
              <w:rPr>
                <w:sz w:val="20"/>
                <w:szCs w:val="20"/>
              </w:rPr>
              <w:t xml:space="preserve"> female</w:t>
            </w:r>
            <w:r w:rsidR="00BA7194">
              <w:rPr>
                <w:sz w:val="20"/>
                <w:szCs w:val="20"/>
              </w:rPr>
              <w:t>)</w:t>
            </w:r>
          </w:p>
        </w:tc>
      </w:tr>
      <w:tr w:rsidR="00E016D9" w:rsidRPr="00094632" w14:paraId="00B947D8" w14:textId="77777777" w:rsidTr="00675E6A">
        <w:tc>
          <w:tcPr>
            <w:tcW w:w="1951" w:type="dxa"/>
            <w:tcBorders>
              <w:top w:val="nil"/>
              <w:bottom w:val="nil"/>
            </w:tcBorders>
          </w:tcPr>
          <w:p w14:paraId="66E6B3E3" w14:textId="77777777" w:rsidR="00E016D9" w:rsidRPr="00094632" w:rsidRDefault="00E016D9" w:rsidP="002D3A15">
            <w:pPr>
              <w:rPr>
                <w:sz w:val="20"/>
                <w:szCs w:val="20"/>
              </w:rPr>
            </w:pPr>
            <w:r w:rsidRPr="00094632">
              <w:rPr>
                <w:sz w:val="20"/>
                <w:szCs w:val="20"/>
              </w:rPr>
              <w:t>Mortality</w:t>
            </w:r>
          </w:p>
        </w:tc>
        <w:tc>
          <w:tcPr>
            <w:tcW w:w="1331" w:type="dxa"/>
            <w:tcBorders>
              <w:top w:val="nil"/>
              <w:bottom w:val="nil"/>
            </w:tcBorders>
          </w:tcPr>
          <w:p w14:paraId="3B9009A5" w14:textId="77777777" w:rsidR="00E016D9" w:rsidRPr="00094632" w:rsidRDefault="00E016D9" w:rsidP="002D3A15">
            <w:pPr>
              <w:rPr>
                <w:sz w:val="20"/>
                <w:szCs w:val="20"/>
              </w:rPr>
            </w:pPr>
            <w:r w:rsidRPr="00094632">
              <w:rPr>
                <w:sz w:val="20"/>
                <w:szCs w:val="20"/>
              </w:rPr>
              <w:t>All</w:t>
            </w:r>
          </w:p>
          <w:p w14:paraId="1FCED449" w14:textId="77777777" w:rsidR="00E016D9" w:rsidRPr="00094632" w:rsidRDefault="00E016D9" w:rsidP="002D3A15">
            <w:pPr>
              <w:rPr>
                <w:sz w:val="20"/>
                <w:szCs w:val="20"/>
              </w:rPr>
            </w:pPr>
          </w:p>
        </w:tc>
        <w:tc>
          <w:tcPr>
            <w:tcW w:w="5473" w:type="dxa"/>
            <w:tcBorders>
              <w:top w:val="nil"/>
              <w:bottom w:val="nil"/>
            </w:tcBorders>
          </w:tcPr>
          <w:p w14:paraId="5CB2CA16" w14:textId="77777777" w:rsidR="00E016D9" w:rsidRPr="00094632" w:rsidRDefault="00E016D9" w:rsidP="002D3A15">
            <w:pPr>
              <w:rPr>
                <w:sz w:val="20"/>
                <w:szCs w:val="20"/>
              </w:rPr>
            </w:pPr>
            <w:r w:rsidRPr="00094632">
              <w:rPr>
                <w:sz w:val="20"/>
                <w:szCs w:val="20"/>
              </w:rPr>
              <w:t>Office for National Statistics</w:t>
            </w:r>
          </w:p>
        </w:tc>
        <w:tc>
          <w:tcPr>
            <w:tcW w:w="5419" w:type="dxa"/>
            <w:tcBorders>
              <w:top w:val="nil"/>
              <w:bottom w:val="nil"/>
            </w:tcBorders>
          </w:tcPr>
          <w:p w14:paraId="51FF9877" w14:textId="7F157D0D" w:rsidR="00E016D9" w:rsidRPr="00094632" w:rsidRDefault="00E016D9" w:rsidP="002D3A15">
            <w:pPr>
              <w:rPr>
                <w:sz w:val="20"/>
                <w:szCs w:val="20"/>
              </w:rPr>
            </w:pPr>
            <w:r w:rsidRPr="00094632">
              <w:rPr>
                <w:sz w:val="20"/>
                <w:szCs w:val="20"/>
              </w:rPr>
              <w:t xml:space="preserve">2009 </w:t>
            </w:r>
            <w:r w:rsidRPr="00146C5C">
              <w:rPr>
                <w:sz w:val="20"/>
                <w:szCs w:val="20"/>
              </w:rPr>
              <w:t>deaths in England and Wales</w:t>
            </w:r>
            <w:r w:rsidR="00BA7194" w:rsidRPr="00146C5C">
              <w:rPr>
                <w:sz w:val="20"/>
                <w:szCs w:val="20"/>
              </w:rPr>
              <w:t xml:space="preserve"> (</w:t>
            </w:r>
            <w:r w:rsidR="00146C5C" w:rsidRPr="00146C5C">
              <w:rPr>
                <w:sz w:val="20"/>
                <w:szCs w:val="20"/>
              </w:rPr>
              <w:t>238,062</w:t>
            </w:r>
            <w:r w:rsidR="006C46E7">
              <w:rPr>
                <w:sz w:val="20"/>
                <w:szCs w:val="20"/>
              </w:rPr>
              <w:t xml:space="preserve"> male</w:t>
            </w:r>
            <w:r w:rsidR="00BA7194" w:rsidRPr="00146C5C">
              <w:rPr>
                <w:sz w:val="20"/>
                <w:szCs w:val="20"/>
              </w:rPr>
              <w:t xml:space="preserve">, </w:t>
            </w:r>
            <w:r w:rsidR="00146C5C" w:rsidRPr="00146C5C">
              <w:rPr>
                <w:sz w:val="20"/>
                <w:szCs w:val="20"/>
              </w:rPr>
              <w:t>252,286</w:t>
            </w:r>
            <w:r w:rsidR="006C46E7">
              <w:rPr>
                <w:sz w:val="20"/>
                <w:szCs w:val="20"/>
              </w:rPr>
              <w:t xml:space="preserve"> female</w:t>
            </w:r>
            <w:r w:rsidR="00BA7194" w:rsidRPr="00146C5C">
              <w:rPr>
                <w:sz w:val="20"/>
                <w:szCs w:val="20"/>
              </w:rPr>
              <w:t>)</w:t>
            </w:r>
          </w:p>
          <w:p w14:paraId="5588EB57" w14:textId="77777777" w:rsidR="00E016D9" w:rsidRPr="00094632" w:rsidRDefault="00E016D9" w:rsidP="002D3A15">
            <w:pPr>
              <w:rPr>
                <w:sz w:val="20"/>
                <w:szCs w:val="20"/>
              </w:rPr>
            </w:pPr>
          </w:p>
        </w:tc>
      </w:tr>
      <w:tr w:rsidR="00E016D9" w:rsidRPr="00094632" w14:paraId="76012AF2" w14:textId="77777777" w:rsidTr="00675E6A">
        <w:tc>
          <w:tcPr>
            <w:tcW w:w="1951" w:type="dxa"/>
          </w:tcPr>
          <w:p w14:paraId="5F05D7C6" w14:textId="77777777" w:rsidR="00E016D9" w:rsidRPr="00094632" w:rsidRDefault="00E016D9" w:rsidP="002D3A15">
            <w:pPr>
              <w:rPr>
                <w:sz w:val="20"/>
                <w:szCs w:val="20"/>
              </w:rPr>
            </w:pPr>
            <w:r w:rsidRPr="00094632">
              <w:rPr>
                <w:sz w:val="20"/>
                <w:szCs w:val="20"/>
              </w:rPr>
              <w:t>Disease prevalence</w:t>
            </w:r>
          </w:p>
        </w:tc>
        <w:tc>
          <w:tcPr>
            <w:tcW w:w="1331" w:type="dxa"/>
          </w:tcPr>
          <w:p w14:paraId="7E33AA82" w14:textId="77777777" w:rsidR="00E016D9" w:rsidRPr="00094632" w:rsidRDefault="00E016D9" w:rsidP="002D3A15">
            <w:pPr>
              <w:rPr>
                <w:sz w:val="20"/>
                <w:szCs w:val="20"/>
              </w:rPr>
            </w:pPr>
            <w:r w:rsidRPr="00094632">
              <w:rPr>
                <w:sz w:val="20"/>
                <w:szCs w:val="20"/>
              </w:rPr>
              <w:t>Asthma</w:t>
            </w:r>
          </w:p>
        </w:tc>
        <w:tc>
          <w:tcPr>
            <w:tcW w:w="5473" w:type="dxa"/>
          </w:tcPr>
          <w:p w14:paraId="1F2131E4" w14:textId="77777777" w:rsidR="00E016D9" w:rsidRPr="00094632" w:rsidRDefault="00E016D9" w:rsidP="002D3A15">
            <w:pPr>
              <w:rPr>
                <w:sz w:val="20"/>
                <w:szCs w:val="20"/>
              </w:rPr>
            </w:pPr>
            <w:r w:rsidRPr="00094632">
              <w:rPr>
                <w:sz w:val="20"/>
                <w:szCs w:val="20"/>
              </w:rPr>
              <w:t>Office for National Statistics</w:t>
            </w:r>
          </w:p>
        </w:tc>
        <w:tc>
          <w:tcPr>
            <w:tcW w:w="5419" w:type="dxa"/>
          </w:tcPr>
          <w:p w14:paraId="5783CA9F" w14:textId="77777777" w:rsidR="00E016D9" w:rsidRPr="00094632" w:rsidRDefault="00E016D9" w:rsidP="002D3A15">
            <w:pPr>
              <w:rPr>
                <w:sz w:val="20"/>
                <w:szCs w:val="20"/>
              </w:rPr>
            </w:pPr>
            <w:r w:rsidRPr="00094632">
              <w:rPr>
                <w:sz w:val="20"/>
                <w:szCs w:val="20"/>
              </w:rPr>
              <w:t>1998 prevalence of treated asthma in England and Wales</w:t>
            </w:r>
          </w:p>
        </w:tc>
      </w:tr>
      <w:tr w:rsidR="00E016D9" w:rsidRPr="00094632" w14:paraId="1AE4AC0B" w14:textId="77777777" w:rsidTr="00675E6A">
        <w:tc>
          <w:tcPr>
            <w:tcW w:w="1951" w:type="dxa"/>
          </w:tcPr>
          <w:p w14:paraId="25D9896A" w14:textId="77777777" w:rsidR="00E016D9" w:rsidRPr="00094632" w:rsidRDefault="00E016D9" w:rsidP="002D3A15">
            <w:pPr>
              <w:rPr>
                <w:sz w:val="20"/>
                <w:szCs w:val="20"/>
              </w:rPr>
            </w:pPr>
          </w:p>
        </w:tc>
        <w:tc>
          <w:tcPr>
            <w:tcW w:w="1331" w:type="dxa"/>
          </w:tcPr>
          <w:p w14:paraId="257978F5" w14:textId="77777777" w:rsidR="00E016D9" w:rsidRPr="00094632" w:rsidRDefault="00E016D9" w:rsidP="002D3A15">
            <w:pPr>
              <w:rPr>
                <w:sz w:val="20"/>
                <w:szCs w:val="20"/>
              </w:rPr>
            </w:pPr>
            <w:r w:rsidRPr="00094632">
              <w:rPr>
                <w:sz w:val="20"/>
                <w:szCs w:val="20"/>
              </w:rPr>
              <w:t>CHD</w:t>
            </w:r>
          </w:p>
          <w:p w14:paraId="4022137D" w14:textId="77777777" w:rsidR="00E016D9" w:rsidRPr="00094632" w:rsidRDefault="00E016D9" w:rsidP="002D3A15">
            <w:pPr>
              <w:rPr>
                <w:sz w:val="20"/>
                <w:szCs w:val="20"/>
              </w:rPr>
            </w:pPr>
            <w:r w:rsidRPr="00094632">
              <w:rPr>
                <w:sz w:val="20"/>
                <w:szCs w:val="20"/>
              </w:rPr>
              <w:t>Lung cancer</w:t>
            </w:r>
          </w:p>
          <w:p w14:paraId="76527CFF" w14:textId="77777777" w:rsidR="00E016D9" w:rsidRPr="00094632" w:rsidRDefault="00E016D9" w:rsidP="002D3A15">
            <w:pPr>
              <w:rPr>
                <w:sz w:val="20"/>
                <w:szCs w:val="20"/>
              </w:rPr>
            </w:pPr>
          </w:p>
        </w:tc>
        <w:tc>
          <w:tcPr>
            <w:tcW w:w="5473" w:type="dxa"/>
          </w:tcPr>
          <w:p w14:paraId="559233A1" w14:textId="77777777" w:rsidR="00E016D9" w:rsidRPr="00094632" w:rsidRDefault="00E016D9" w:rsidP="002D3A15">
            <w:pPr>
              <w:rPr>
                <w:sz w:val="20"/>
                <w:szCs w:val="20"/>
              </w:rPr>
            </w:pPr>
            <w:r w:rsidRPr="00094632">
              <w:rPr>
                <w:sz w:val="20"/>
                <w:szCs w:val="20"/>
              </w:rPr>
              <w:t>Office for National Statistics</w:t>
            </w:r>
          </w:p>
          <w:p w14:paraId="64D37E07" w14:textId="77777777" w:rsidR="00E016D9" w:rsidRPr="00094632" w:rsidRDefault="00E016D9" w:rsidP="002D3A15">
            <w:pPr>
              <w:rPr>
                <w:sz w:val="20"/>
                <w:szCs w:val="20"/>
              </w:rPr>
            </w:pPr>
            <w:r w:rsidRPr="00094632">
              <w:rPr>
                <w:sz w:val="20"/>
                <w:szCs w:val="20"/>
              </w:rPr>
              <w:t>EUROPREVAL st</w:t>
            </w:r>
            <w:r w:rsidRPr="002B3724">
              <w:rPr>
                <w:sz w:val="20"/>
                <w:szCs w:val="20"/>
              </w:rPr>
              <w:t>udy</w:t>
            </w:r>
            <w:r w:rsidR="00B830E6">
              <w:rPr>
                <w:sz w:val="20"/>
                <w:szCs w:val="20"/>
              </w:rPr>
              <w:t xml:space="preserve"> (Forman et al., 2003)</w:t>
            </w:r>
          </w:p>
        </w:tc>
        <w:tc>
          <w:tcPr>
            <w:tcW w:w="5419" w:type="dxa"/>
          </w:tcPr>
          <w:p w14:paraId="2096CAE1" w14:textId="77777777" w:rsidR="00E016D9" w:rsidRPr="00094632" w:rsidRDefault="00E016D9" w:rsidP="002D3A15">
            <w:pPr>
              <w:rPr>
                <w:sz w:val="20"/>
                <w:szCs w:val="20"/>
              </w:rPr>
            </w:pPr>
            <w:r w:rsidRPr="00094632">
              <w:rPr>
                <w:sz w:val="20"/>
                <w:szCs w:val="20"/>
              </w:rPr>
              <w:t>1994-98 prevalence of treated CHD in England and Wales</w:t>
            </w:r>
          </w:p>
          <w:p w14:paraId="53F1E8A3" w14:textId="77777777" w:rsidR="00E016D9" w:rsidRPr="00094632" w:rsidRDefault="00E016D9" w:rsidP="002D3A15">
            <w:pPr>
              <w:rPr>
                <w:sz w:val="20"/>
                <w:szCs w:val="20"/>
              </w:rPr>
            </w:pPr>
            <w:r w:rsidRPr="00094632">
              <w:rPr>
                <w:sz w:val="20"/>
                <w:szCs w:val="20"/>
              </w:rPr>
              <w:t>1992 prevalence of lung cancer in UK (estimated using incidence and survival trends)</w:t>
            </w:r>
          </w:p>
          <w:p w14:paraId="02769953" w14:textId="77777777" w:rsidR="00E016D9" w:rsidRPr="00094632" w:rsidRDefault="00E016D9" w:rsidP="002D3A15">
            <w:pPr>
              <w:rPr>
                <w:sz w:val="20"/>
                <w:szCs w:val="20"/>
              </w:rPr>
            </w:pPr>
          </w:p>
        </w:tc>
      </w:tr>
      <w:tr w:rsidR="00E016D9" w:rsidRPr="00094632" w14:paraId="0A876407" w14:textId="77777777" w:rsidTr="00675E6A">
        <w:tc>
          <w:tcPr>
            <w:tcW w:w="1951" w:type="dxa"/>
          </w:tcPr>
          <w:p w14:paraId="51A8DFE3" w14:textId="77777777" w:rsidR="00E016D9" w:rsidRPr="00094632" w:rsidRDefault="00E016D9" w:rsidP="002D3A15">
            <w:pPr>
              <w:rPr>
                <w:sz w:val="20"/>
                <w:szCs w:val="20"/>
              </w:rPr>
            </w:pPr>
            <w:r w:rsidRPr="00094632">
              <w:rPr>
                <w:sz w:val="20"/>
                <w:szCs w:val="20"/>
              </w:rPr>
              <w:t>Disease incidence</w:t>
            </w:r>
          </w:p>
        </w:tc>
        <w:tc>
          <w:tcPr>
            <w:tcW w:w="1331" w:type="dxa"/>
          </w:tcPr>
          <w:p w14:paraId="56A1F9A8" w14:textId="77777777" w:rsidR="00E016D9" w:rsidRPr="00094632" w:rsidRDefault="00E016D9" w:rsidP="002D3A15">
            <w:pPr>
              <w:rPr>
                <w:sz w:val="20"/>
                <w:szCs w:val="20"/>
              </w:rPr>
            </w:pPr>
            <w:r w:rsidRPr="00094632">
              <w:rPr>
                <w:sz w:val="20"/>
                <w:szCs w:val="20"/>
              </w:rPr>
              <w:t>Asthma</w:t>
            </w:r>
          </w:p>
        </w:tc>
        <w:tc>
          <w:tcPr>
            <w:tcW w:w="5473" w:type="dxa"/>
          </w:tcPr>
          <w:p w14:paraId="1EF374FB" w14:textId="77777777" w:rsidR="00E016D9" w:rsidRPr="00094632" w:rsidRDefault="00E016D9" w:rsidP="002D3A15">
            <w:pPr>
              <w:rPr>
                <w:sz w:val="20"/>
                <w:szCs w:val="20"/>
              </w:rPr>
            </w:pPr>
            <w:r w:rsidRPr="00094632">
              <w:rPr>
                <w:sz w:val="20"/>
                <w:szCs w:val="20"/>
              </w:rPr>
              <w:t xml:space="preserve">NHS Hospital Episode </w:t>
            </w:r>
            <w:proofErr w:type="spellStart"/>
            <w:r w:rsidRPr="00094632">
              <w:rPr>
                <w:sz w:val="20"/>
                <w:szCs w:val="20"/>
              </w:rPr>
              <w:t>Statistics</w:t>
            </w:r>
            <w:r w:rsidRPr="00094632">
              <w:rPr>
                <w:i/>
                <w:sz w:val="20"/>
                <w:szCs w:val="20"/>
                <w:vertAlign w:val="superscript"/>
              </w:rPr>
              <w:t>b</w:t>
            </w:r>
            <w:proofErr w:type="spellEnd"/>
          </w:p>
        </w:tc>
        <w:tc>
          <w:tcPr>
            <w:tcW w:w="5419" w:type="dxa"/>
          </w:tcPr>
          <w:p w14:paraId="7CDB7794" w14:textId="77777777" w:rsidR="00E016D9" w:rsidRPr="00094632" w:rsidRDefault="00E016D9" w:rsidP="002D3A15">
            <w:pPr>
              <w:rPr>
                <w:sz w:val="20"/>
                <w:szCs w:val="20"/>
              </w:rPr>
            </w:pPr>
            <w:r w:rsidRPr="00094632">
              <w:rPr>
                <w:sz w:val="20"/>
                <w:szCs w:val="20"/>
              </w:rPr>
              <w:t>2007-08 primary diagnosis of asthma in England</w:t>
            </w:r>
          </w:p>
        </w:tc>
      </w:tr>
      <w:tr w:rsidR="00E016D9" w:rsidRPr="00094632" w14:paraId="21181977" w14:textId="77777777" w:rsidTr="00675E6A">
        <w:tc>
          <w:tcPr>
            <w:tcW w:w="1951" w:type="dxa"/>
          </w:tcPr>
          <w:p w14:paraId="07150C61" w14:textId="77777777" w:rsidR="00E016D9" w:rsidRPr="00094632" w:rsidRDefault="00E016D9" w:rsidP="002D3A15">
            <w:pPr>
              <w:rPr>
                <w:sz w:val="20"/>
                <w:szCs w:val="20"/>
              </w:rPr>
            </w:pPr>
          </w:p>
        </w:tc>
        <w:tc>
          <w:tcPr>
            <w:tcW w:w="1331" w:type="dxa"/>
          </w:tcPr>
          <w:p w14:paraId="4D88A2AE" w14:textId="77777777" w:rsidR="00E016D9" w:rsidRPr="00094632" w:rsidRDefault="00E016D9" w:rsidP="002D3A15">
            <w:pPr>
              <w:rPr>
                <w:sz w:val="20"/>
                <w:szCs w:val="20"/>
              </w:rPr>
            </w:pPr>
            <w:r w:rsidRPr="00094632">
              <w:rPr>
                <w:sz w:val="20"/>
                <w:szCs w:val="20"/>
              </w:rPr>
              <w:t>CHD</w:t>
            </w:r>
          </w:p>
          <w:p w14:paraId="0DD5C4F5" w14:textId="77777777" w:rsidR="00E016D9" w:rsidRPr="00094632" w:rsidRDefault="00E016D9" w:rsidP="002D3A15">
            <w:pPr>
              <w:rPr>
                <w:sz w:val="20"/>
                <w:szCs w:val="20"/>
              </w:rPr>
            </w:pPr>
          </w:p>
          <w:p w14:paraId="5CF19304" w14:textId="77777777" w:rsidR="00E016D9" w:rsidRPr="00094632" w:rsidRDefault="00E016D9" w:rsidP="002D3A15">
            <w:pPr>
              <w:rPr>
                <w:sz w:val="20"/>
                <w:szCs w:val="20"/>
              </w:rPr>
            </w:pPr>
            <w:r w:rsidRPr="00094632">
              <w:rPr>
                <w:sz w:val="20"/>
                <w:szCs w:val="20"/>
              </w:rPr>
              <w:t>Lung cancer</w:t>
            </w:r>
          </w:p>
          <w:p w14:paraId="3AA1DA25" w14:textId="77777777" w:rsidR="00E016D9" w:rsidRPr="00094632" w:rsidRDefault="00E016D9" w:rsidP="002D3A15">
            <w:pPr>
              <w:rPr>
                <w:sz w:val="20"/>
                <w:szCs w:val="20"/>
              </w:rPr>
            </w:pPr>
          </w:p>
        </w:tc>
        <w:tc>
          <w:tcPr>
            <w:tcW w:w="5473" w:type="dxa"/>
          </w:tcPr>
          <w:p w14:paraId="6E3A812D" w14:textId="77777777" w:rsidR="00E016D9" w:rsidRPr="00094632" w:rsidRDefault="00E016D9" w:rsidP="002D3A15">
            <w:pPr>
              <w:rPr>
                <w:sz w:val="20"/>
                <w:szCs w:val="20"/>
              </w:rPr>
            </w:pPr>
            <w:r w:rsidRPr="00094632">
              <w:rPr>
                <w:sz w:val="20"/>
                <w:szCs w:val="20"/>
              </w:rPr>
              <w:t xml:space="preserve">Bromley </w:t>
            </w:r>
            <w:r>
              <w:rPr>
                <w:sz w:val="20"/>
                <w:szCs w:val="20"/>
              </w:rPr>
              <w:t>Coronary Heart Disease Registe</w:t>
            </w:r>
            <w:r w:rsidRPr="002B3724">
              <w:rPr>
                <w:sz w:val="20"/>
                <w:szCs w:val="20"/>
              </w:rPr>
              <w:t>r</w:t>
            </w:r>
            <w:r w:rsidR="00B830E6">
              <w:rPr>
                <w:sz w:val="20"/>
                <w:szCs w:val="20"/>
              </w:rPr>
              <w:t xml:space="preserve"> (Sutcliffe et al., 2003)</w:t>
            </w:r>
          </w:p>
          <w:p w14:paraId="1C919846" w14:textId="77777777" w:rsidR="00675E6A" w:rsidRDefault="00675E6A" w:rsidP="002D3A15">
            <w:pPr>
              <w:rPr>
                <w:sz w:val="20"/>
                <w:szCs w:val="20"/>
              </w:rPr>
            </w:pPr>
          </w:p>
          <w:p w14:paraId="557A7CFA" w14:textId="77777777" w:rsidR="00E016D9" w:rsidRPr="00094632" w:rsidRDefault="00E016D9" w:rsidP="002D3A15">
            <w:pPr>
              <w:rPr>
                <w:sz w:val="20"/>
                <w:szCs w:val="20"/>
              </w:rPr>
            </w:pPr>
            <w:r w:rsidRPr="00094632">
              <w:rPr>
                <w:sz w:val="20"/>
                <w:szCs w:val="20"/>
              </w:rPr>
              <w:t xml:space="preserve">Cancer Research </w:t>
            </w:r>
            <w:proofErr w:type="spellStart"/>
            <w:r w:rsidRPr="00094632">
              <w:rPr>
                <w:sz w:val="20"/>
                <w:szCs w:val="20"/>
              </w:rPr>
              <w:t>UK</w:t>
            </w:r>
            <w:r w:rsidRPr="00094632">
              <w:rPr>
                <w:i/>
                <w:sz w:val="20"/>
                <w:szCs w:val="20"/>
                <w:vertAlign w:val="superscript"/>
              </w:rPr>
              <w:t>c</w:t>
            </w:r>
            <w:proofErr w:type="spellEnd"/>
          </w:p>
        </w:tc>
        <w:tc>
          <w:tcPr>
            <w:tcW w:w="5419" w:type="dxa"/>
          </w:tcPr>
          <w:p w14:paraId="571976BC" w14:textId="77777777" w:rsidR="00E016D9" w:rsidRPr="00094632" w:rsidRDefault="00E016D9" w:rsidP="002D3A15">
            <w:pPr>
              <w:rPr>
                <w:sz w:val="20"/>
                <w:szCs w:val="20"/>
              </w:rPr>
            </w:pPr>
            <w:r w:rsidRPr="00094632">
              <w:rPr>
                <w:sz w:val="20"/>
                <w:szCs w:val="20"/>
              </w:rPr>
              <w:t>1996-98 incidence of CHD in Bromley (England)</w:t>
            </w:r>
          </w:p>
          <w:p w14:paraId="06ECE411" w14:textId="77777777" w:rsidR="00E016D9" w:rsidRPr="00094632" w:rsidRDefault="00E016D9" w:rsidP="002D3A15">
            <w:pPr>
              <w:rPr>
                <w:sz w:val="20"/>
                <w:szCs w:val="20"/>
              </w:rPr>
            </w:pPr>
          </w:p>
          <w:p w14:paraId="48F60484" w14:textId="77777777" w:rsidR="00E016D9" w:rsidRPr="00094632" w:rsidRDefault="00E016D9" w:rsidP="002D3A15">
            <w:pPr>
              <w:rPr>
                <w:sz w:val="20"/>
                <w:szCs w:val="20"/>
              </w:rPr>
            </w:pPr>
            <w:r w:rsidRPr="00094632">
              <w:rPr>
                <w:sz w:val="20"/>
                <w:szCs w:val="20"/>
              </w:rPr>
              <w:t>2007 new cases of lung cancer in UK</w:t>
            </w:r>
          </w:p>
        </w:tc>
      </w:tr>
      <w:tr w:rsidR="00E016D9" w:rsidRPr="00094632" w14:paraId="3D3FE3F3" w14:textId="77777777" w:rsidTr="00675E6A">
        <w:tc>
          <w:tcPr>
            <w:tcW w:w="1951" w:type="dxa"/>
          </w:tcPr>
          <w:p w14:paraId="3495B815" w14:textId="77777777" w:rsidR="00E016D9" w:rsidRPr="00094632" w:rsidRDefault="00E016D9" w:rsidP="002D3A15">
            <w:pPr>
              <w:rPr>
                <w:sz w:val="20"/>
                <w:szCs w:val="20"/>
              </w:rPr>
            </w:pPr>
            <w:r w:rsidRPr="00094632">
              <w:rPr>
                <w:sz w:val="20"/>
                <w:szCs w:val="20"/>
              </w:rPr>
              <w:t>Disease quality-of-life weights</w:t>
            </w:r>
          </w:p>
        </w:tc>
        <w:tc>
          <w:tcPr>
            <w:tcW w:w="1331" w:type="dxa"/>
          </w:tcPr>
          <w:p w14:paraId="6EC3CCE7" w14:textId="77777777" w:rsidR="00E016D9" w:rsidRPr="00094632" w:rsidRDefault="00E016D9" w:rsidP="002D3A15">
            <w:pPr>
              <w:rPr>
                <w:sz w:val="20"/>
                <w:szCs w:val="20"/>
              </w:rPr>
            </w:pPr>
            <w:r w:rsidRPr="00094632">
              <w:rPr>
                <w:sz w:val="20"/>
                <w:szCs w:val="20"/>
              </w:rPr>
              <w:t>Asthma</w:t>
            </w:r>
          </w:p>
          <w:p w14:paraId="68989A80" w14:textId="77777777" w:rsidR="00E016D9" w:rsidRPr="00094632" w:rsidRDefault="00E016D9" w:rsidP="002D3A15">
            <w:pPr>
              <w:rPr>
                <w:sz w:val="20"/>
                <w:szCs w:val="20"/>
              </w:rPr>
            </w:pPr>
            <w:r w:rsidRPr="00094632">
              <w:rPr>
                <w:sz w:val="20"/>
                <w:szCs w:val="20"/>
              </w:rPr>
              <w:t>CHD</w:t>
            </w:r>
          </w:p>
          <w:p w14:paraId="416BFF96" w14:textId="77777777" w:rsidR="00E016D9" w:rsidRPr="00094632" w:rsidRDefault="00E016D9" w:rsidP="002D3A15">
            <w:pPr>
              <w:rPr>
                <w:sz w:val="20"/>
                <w:szCs w:val="20"/>
              </w:rPr>
            </w:pPr>
          </w:p>
          <w:p w14:paraId="6738E439" w14:textId="77777777" w:rsidR="00E016D9" w:rsidRPr="00094632" w:rsidRDefault="00E016D9" w:rsidP="002D3A15">
            <w:pPr>
              <w:rPr>
                <w:sz w:val="20"/>
                <w:szCs w:val="20"/>
              </w:rPr>
            </w:pPr>
            <w:r w:rsidRPr="00094632">
              <w:rPr>
                <w:sz w:val="20"/>
                <w:szCs w:val="20"/>
              </w:rPr>
              <w:t>Lung cancer</w:t>
            </w:r>
          </w:p>
          <w:p w14:paraId="0C984A88" w14:textId="77777777" w:rsidR="00E016D9" w:rsidRPr="00094632" w:rsidRDefault="00E016D9" w:rsidP="002D3A15">
            <w:pPr>
              <w:rPr>
                <w:sz w:val="20"/>
                <w:szCs w:val="20"/>
              </w:rPr>
            </w:pPr>
          </w:p>
        </w:tc>
        <w:tc>
          <w:tcPr>
            <w:tcW w:w="5473" w:type="dxa"/>
          </w:tcPr>
          <w:p w14:paraId="4970057E" w14:textId="77777777" w:rsidR="00E016D9" w:rsidRPr="002B3724" w:rsidRDefault="00E016D9" w:rsidP="002D3A15">
            <w:pPr>
              <w:rPr>
                <w:sz w:val="20"/>
                <w:szCs w:val="20"/>
              </w:rPr>
            </w:pPr>
            <w:r w:rsidRPr="00094632">
              <w:rPr>
                <w:sz w:val="20"/>
                <w:szCs w:val="20"/>
              </w:rPr>
              <w:t>WH</w:t>
            </w:r>
            <w:r>
              <w:rPr>
                <w:sz w:val="20"/>
                <w:szCs w:val="20"/>
              </w:rPr>
              <w:t xml:space="preserve">O Global </w:t>
            </w:r>
            <w:r w:rsidRPr="002B3724">
              <w:rPr>
                <w:sz w:val="20"/>
                <w:szCs w:val="20"/>
              </w:rPr>
              <w:t>Burden of Disease 2004</w:t>
            </w:r>
            <w:r w:rsidR="00B830E6">
              <w:rPr>
                <w:sz w:val="20"/>
                <w:szCs w:val="20"/>
              </w:rPr>
              <w:t xml:space="preserve"> (</w:t>
            </w:r>
            <w:r w:rsidR="00BC20F3">
              <w:rPr>
                <w:sz w:val="20"/>
                <w:szCs w:val="20"/>
              </w:rPr>
              <w:t>WHO, 2008</w:t>
            </w:r>
            <w:r w:rsidR="00B830E6">
              <w:rPr>
                <w:sz w:val="20"/>
                <w:szCs w:val="20"/>
              </w:rPr>
              <w:t>)</w:t>
            </w:r>
          </w:p>
          <w:p w14:paraId="698F948D" w14:textId="77777777" w:rsidR="00E016D9" w:rsidRPr="002B3724" w:rsidRDefault="00E016D9" w:rsidP="002D3A15">
            <w:pPr>
              <w:rPr>
                <w:sz w:val="20"/>
                <w:szCs w:val="20"/>
              </w:rPr>
            </w:pPr>
            <w:r w:rsidRPr="002B3724">
              <w:rPr>
                <w:sz w:val="20"/>
                <w:szCs w:val="20"/>
              </w:rPr>
              <w:t>WHO Global Burden of Disease 2004</w:t>
            </w:r>
            <w:r w:rsidR="00BC20F3">
              <w:rPr>
                <w:sz w:val="20"/>
                <w:szCs w:val="20"/>
              </w:rPr>
              <w:t xml:space="preserve"> (WHO, 2008)</w:t>
            </w:r>
          </w:p>
          <w:p w14:paraId="4442E700" w14:textId="77777777" w:rsidR="00E016D9" w:rsidRPr="002B3724" w:rsidRDefault="00E016D9" w:rsidP="002D3A15">
            <w:pPr>
              <w:rPr>
                <w:sz w:val="20"/>
                <w:szCs w:val="20"/>
              </w:rPr>
            </w:pPr>
          </w:p>
          <w:p w14:paraId="55A4B58D" w14:textId="77777777" w:rsidR="00E016D9" w:rsidRPr="00094632" w:rsidRDefault="00E016D9" w:rsidP="002D3A15">
            <w:pPr>
              <w:rPr>
                <w:sz w:val="20"/>
                <w:szCs w:val="20"/>
              </w:rPr>
            </w:pPr>
            <w:r w:rsidRPr="002B3724">
              <w:rPr>
                <w:sz w:val="20"/>
                <w:szCs w:val="20"/>
              </w:rPr>
              <w:t>WHO Global Burden of Disease 2004</w:t>
            </w:r>
            <w:r w:rsidR="00BC20F3">
              <w:rPr>
                <w:sz w:val="20"/>
                <w:szCs w:val="20"/>
              </w:rPr>
              <w:t xml:space="preserve"> (WHO, 2008)</w:t>
            </w:r>
          </w:p>
        </w:tc>
        <w:tc>
          <w:tcPr>
            <w:tcW w:w="5419" w:type="dxa"/>
          </w:tcPr>
          <w:p w14:paraId="2AD5D829" w14:textId="77777777" w:rsidR="00E016D9" w:rsidRPr="00094632" w:rsidRDefault="00E016D9" w:rsidP="002D3A15">
            <w:pPr>
              <w:rPr>
                <w:sz w:val="20"/>
                <w:szCs w:val="20"/>
              </w:rPr>
            </w:pPr>
            <w:r w:rsidRPr="00094632">
              <w:rPr>
                <w:sz w:val="20"/>
                <w:szCs w:val="20"/>
              </w:rPr>
              <w:t>0.957 (asthma cases)</w:t>
            </w:r>
          </w:p>
          <w:p w14:paraId="68D272FC" w14:textId="77777777" w:rsidR="00E016D9" w:rsidRPr="00094632" w:rsidRDefault="00E016D9" w:rsidP="002D3A15">
            <w:pPr>
              <w:rPr>
                <w:sz w:val="20"/>
                <w:szCs w:val="20"/>
              </w:rPr>
            </w:pPr>
            <w:r w:rsidRPr="00094632">
              <w:rPr>
                <w:sz w:val="20"/>
                <w:szCs w:val="20"/>
              </w:rPr>
              <w:t>0.8 (estimate based on acute myocardial infarction, angina pectoris, congestive heart failure)</w:t>
            </w:r>
          </w:p>
          <w:p w14:paraId="6C92226F" w14:textId="77777777" w:rsidR="00E016D9" w:rsidRPr="00094632" w:rsidRDefault="00E016D9" w:rsidP="002D3A15">
            <w:pPr>
              <w:rPr>
                <w:sz w:val="20"/>
                <w:szCs w:val="20"/>
              </w:rPr>
            </w:pPr>
            <w:r w:rsidRPr="00094632">
              <w:rPr>
                <w:sz w:val="20"/>
                <w:szCs w:val="20"/>
              </w:rPr>
              <w:t>0.25 (metastasis stage for all cancers)</w:t>
            </w:r>
          </w:p>
        </w:tc>
      </w:tr>
      <w:tr w:rsidR="00E016D9" w:rsidRPr="00094632" w14:paraId="3D6BDFEA" w14:textId="77777777" w:rsidTr="00675E6A">
        <w:tc>
          <w:tcPr>
            <w:tcW w:w="1951" w:type="dxa"/>
          </w:tcPr>
          <w:p w14:paraId="5718C335" w14:textId="77777777" w:rsidR="00E016D9" w:rsidRPr="00094632" w:rsidRDefault="00E016D9" w:rsidP="002D3A15">
            <w:pPr>
              <w:rPr>
                <w:sz w:val="20"/>
                <w:szCs w:val="20"/>
              </w:rPr>
            </w:pPr>
            <w:r w:rsidRPr="00094632">
              <w:rPr>
                <w:sz w:val="20"/>
                <w:szCs w:val="20"/>
              </w:rPr>
              <w:t>Exposure-response (mortality)</w:t>
            </w:r>
          </w:p>
        </w:tc>
        <w:tc>
          <w:tcPr>
            <w:tcW w:w="1331" w:type="dxa"/>
          </w:tcPr>
          <w:p w14:paraId="6C05B19A" w14:textId="77777777" w:rsidR="00E016D9" w:rsidRPr="00094632" w:rsidRDefault="00E016D9" w:rsidP="002D3A15">
            <w:pPr>
              <w:rPr>
                <w:sz w:val="20"/>
                <w:szCs w:val="20"/>
              </w:rPr>
            </w:pPr>
            <w:r w:rsidRPr="00094632">
              <w:rPr>
                <w:sz w:val="20"/>
                <w:szCs w:val="20"/>
              </w:rPr>
              <w:t>All</w:t>
            </w:r>
          </w:p>
        </w:tc>
        <w:tc>
          <w:tcPr>
            <w:tcW w:w="5473" w:type="dxa"/>
          </w:tcPr>
          <w:p w14:paraId="317B499F" w14:textId="77777777" w:rsidR="00E016D9" w:rsidRPr="00094632" w:rsidRDefault="00E016D9" w:rsidP="002D3A15">
            <w:pPr>
              <w:rPr>
                <w:sz w:val="20"/>
                <w:szCs w:val="20"/>
              </w:rPr>
            </w:pPr>
            <w:r w:rsidRPr="00094632">
              <w:rPr>
                <w:sz w:val="20"/>
                <w:szCs w:val="20"/>
              </w:rPr>
              <w:t xml:space="preserve">American Cancer Society </w:t>
            </w:r>
            <w:r w:rsidRPr="002B3724">
              <w:rPr>
                <w:sz w:val="20"/>
                <w:szCs w:val="20"/>
              </w:rPr>
              <w:t>study</w:t>
            </w:r>
            <w:r w:rsidR="00BC20F3">
              <w:rPr>
                <w:sz w:val="20"/>
                <w:szCs w:val="20"/>
              </w:rPr>
              <w:t xml:space="preserve"> (Pope et al., 2002; 2004)</w:t>
            </w:r>
          </w:p>
        </w:tc>
        <w:tc>
          <w:tcPr>
            <w:tcW w:w="5419" w:type="dxa"/>
          </w:tcPr>
          <w:p w14:paraId="61C42928" w14:textId="77777777" w:rsidR="00E016D9" w:rsidRPr="00094632" w:rsidRDefault="00E016D9" w:rsidP="002D3A15">
            <w:pPr>
              <w:rPr>
                <w:sz w:val="20"/>
                <w:szCs w:val="20"/>
              </w:rPr>
            </w:pPr>
            <w:r w:rsidRPr="00094632">
              <w:rPr>
                <w:sz w:val="20"/>
                <w:szCs w:val="20"/>
              </w:rPr>
              <w:t>1.06 increase in all-other and asthma mortality, 1.18 increase in cardiovascular mortality and 1.14 increase in lung cancer mortality per 10 µg m</w:t>
            </w:r>
            <w:r w:rsidRPr="00094632">
              <w:rPr>
                <w:sz w:val="20"/>
                <w:szCs w:val="20"/>
                <w:vertAlign w:val="superscript"/>
              </w:rPr>
              <w:t>-3</w:t>
            </w:r>
            <w:r w:rsidRPr="00094632">
              <w:rPr>
                <w:sz w:val="20"/>
                <w:szCs w:val="20"/>
              </w:rPr>
              <w:t xml:space="preserve"> (applied to ages 30+) based on US cohort study of outdoor </w:t>
            </w:r>
            <w:r w:rsidRPr="001F139A">
              <w:rPr>
                <w:sz w:val="20"/>
                <w:szCs w:val="20"/>
              </w:rPr>
              <w:t>air P</w:t>
            </w:r>
            <w:r w:rsidRPr="00094632">
              <w:rPr>
                <w:sz w:val="20"/>
                <w:szCs w:val="20"/>
              </w:rPr>
              <w:t>M</w:t>
            </w:r>
            <w:r w:rsidRPr="00094632">
              <w:rPr>
                <w:sz w:val="20"/>
                <w:szCs w:val="20"/>
                <w:vertAlign w:val="subscript"/>
              </w:rPr>
              <w:t>2.5</w:t>
            </w:r>
            <w:r w:rsidRPr="00094632">
              <w:rPr>
                <w:sz w:val="20"/>
                <w:szCs w:val="20"/>
              </w:rPr>
              <w:t>.</w:t>
            </w:r>
            <w:r w:rsidR="001F139A" w:rsidRPr="001F139A">
              <w:rPr>
                <w:sz w:val="20"/>
                <w:szCs w:val="20"/>
                <w:vertAlign w:val="superscript"/>
              </w:rPr>
              <w:t>d</w:t>
            </w:r>
            <w:r w:rsidRPr="00094632">
              <w:rPr>
                <w:sz w:val="20"/>
                <w:szCs w:val="20"/>
              </w:rPr>
              <w:t xml:space="preserve"> Recommende</w:t>
            </w:r>
            <w:r>
              <w:rPr>
                <w:sz w:val="20"/>
                <w:szCs w:val="20"/>
              </w:rPr>
              <w:t xml:space="preserve">d as appropriate for use in </w:t>
            </w:r>
            <w:r w:rsidRPr="002B3724">
              <w:rPr>
                <w:sz w:val="20"/>
                <w:szCs w:val="20"/>
              </w:rPr>
              <w:t>UK</w:t>
            </w:r>
            <w:r w:rsidR="00BC20F3">
              <w:rPr>
                <w:sz w:val="20"/>
                <w:szCs w:val="20"/>
              </w:rPr>
              <w:t xml:space="preserve"> (COMEAP, 2009).</w:t>
            </w:r>
          </w:p>
        </w:tc>
      </w:tr>
      <w:tr w:rsidR="00E016D9" w:rsidRPr="00094632" w14:paraId="76875E21" w14:textId="77777777" w:rsidTr="00675E6A">
        <w:tc>
          <w:tcPr>
            <w:tcW w:w="1951" w:type="dxa"/>
          </w:tcPr>
          <w:p w14:paraId="6E79DB90" w14:textId="77777777" w:rsidR="00E016D9" w:rsidRPr="00094632" w:rsidRDefault="00E016D9" w:rsidP="002D3A15">
            <w:pPr>
              <w:rPr>
                <w:sz w:val="20"/>
                <w:szCs w:val="20"/>
              </w:rPr>
            </w:pPr>
            <w:r w:rsidRPr="00094632">
              <w:rPr>
                <w:sz w:val="20"/>
                <w:szCs w:val="20"/>
              </w:rPr>
              <w:t>Exposure-response (morbidity)</w:t>
            </w:r>
          </w:p>
        </w:tc>
        <w:tc>
          <w:tcPr>
            <w:tcW w:w="1331" w:type="dxa"/>
          </w:tcPr>
          <w:p w14:paraId="53E90F0F" w14:textId="77777777" w:rsidR="00E016D9" w:rsidRPr="00094632" w:rsidRDefault="00E016D9" w:rsidP="002D3A15">
            <w:pPr>
              <w:rPr>
                <w:sz w:val="20"/>
                <w:szCs w:val="20"/>
              </w:rPr>
            </w:pPr>
            <w:r w:rsidRPr="00094632">
              <w:rPr>
                <w:sz w:val="20"/>
                <w:szCs w:val="20"/>
              </w:rPr>
              <w:t>Asthma</w:t>
            </w:r>
          </w:p>
        </w:tc>
        <w:tc>
          <w:tcPr>
            <w:tcW w:w="5473" w:type="dxa"/>
          </w:tcPr>
          <w:p w14:paraId="2EF39415" w14:textId="77777777" w:rsidR="00E016D9" w:rsidRPr="00094632" w:rsidRDefault="00E016D9" w:rsidP="002D3A15">
            <w:pPr>
              <w:rPr>
                <w:sz w:val="20"/>
                <w:szCs w:val="20"/>
              </w:rPr>
            </w:pPr>
            <w:r w:rsidRPr="00094632">
              <w:rPr>
                <w:sz w:val="20"/>
                <w:szCs w:val="20"/>
              </w:rPr>
              <w:t>Dutch Prevention and Incidence</w:t>
            </w:r>
          </w:p>
          <w:p w14:paraId="5184B71B" w14:textId="77777777" w:rsidR="00E016D9" w:rsidRPr="00094632" w:rsidRDefault="00E016D9" w:rsidP="002D3A15">
            <w:pPr>
              <w:rPr>
                <w:sz w:val="20"/>
                <w:szCs w:val="20"/>
              </w:rPr>
            </w:pPr>
            <w:r w:rsidRPr="00094632">
              <w:rPr>
                <w:sz w:val="20"/>
                <w:szCs w:val="20"/>
              </w:rPr>
              <w:t xml:space="preserve">of Asthma and Mite </w:t>
            </w:r>
            <w:r w:rsidRPr="002B3724">
              <w:rPr>
                <w:sz w:val="20"/>
                <w:szCs w:val="20"/>
              </w:rPr>
              <w:t>Allergy study</w:t>
            </w:r>
            <w:r w:rsidR="00BC20F3">
              <w:rPr>
                <w:sz w:val="20"/>
                <w:szCs w:val="20"/>
              </w:rPr>
              <w:t xml:space="preserve"> (</w:t>
            </w:r>
            <w:proofErr w:type="spellStart"/>
            <w:r w:rsidR="00BC20F3">
              <w:rPr>
                <w:sz w:val="20"/>
                <w:szCs w:val="20"/>
              </w:rPr>
              <w:t>Gehring</w:t>
            </w:r>
            <w:proofErr w:type="spellEnd"/>
            <w:r w:rsidR="00BC20F3">
              <w:rPr>
                <w:sz w:val="20"/>
                <w:szCs w:val="20"/>
              </w:rPr>
              <w:t xml:space="preserve"> et al., 2010)</w:t>
            </w:r>
          </w:p>
        </w:tc>
        <w:tc>
          <w:tcPr>
            <w:tcW w:w="5419" w:type="dxa"/>
          </w:tcPr>
          <w:p w14:paraId="6B71599A" w14:textId="2E8F5EAD" w:rsidR="00E016D9" w:rsidRPr="00094632" w:rsidRDefault="00E016D9" w:rsidP="008471F1">
            <w:pPr>
              <w:rPr>
                <w:sz w:val="20"/>
                <w:szCs w:val="20"/>
              </w:rPr>
            </w:pPr>
            <w:r w:rsidRPr="00094632">
              <w:rPr>
                <w:sz w:val="20"/>
                <w:szCs w:val="20"/>
              </w:rPr>
              <w:t>1.28 increase in asthma incidence per interquartile range based on cohort s</w:t>
            </w:r>
            <w:r w:rsidR="008471F1">
              <w:rPr>
                <w:sz w:val="20"/>
                <w:szCs w:val="20"/>
              </w:rPr>
              <w:t>tudy of children in Netherlands</w:t>
            </w:r>
          </w:p>
        </w:tc>
      </w:tr>
      <w:tr w:rsidR="00E016D9" w:rsidRPr="00094632" w14:paraId="79D38A39" w14:textId="77777777" w:rsidTr="00675E6A">
        <w:tc>
          <w:tcPr>
            <w:tcW w:w="1951" w:type="dxa"/>
          </w:tcPr>
          <w:p w14:paraId="42331B7D" w14:textId="77777777" w:rsidR="00E016D9" w:rsidRPr="00094632" w:rsidRDefault="00E016D9" w:rsidP="002D3A15">
            <w:pPr>
              <w:rPr>
                <w:sz w:val="20"/>
                <w:szCs w:val="20"/>
              </w:rPr>
            </w:pPr>
          </w:p>
        </w:tc>
        <w:tc>
          <w:tcPr>
            <w:tcW w:w="1331" w:type="dxa"/>
          </w:tcPr>
          <w:p w14:paraId="3DB25BDC" w14:textId="77777777" w:rsidR="00E016D9" w:rsidRPr="00094632" w:rsidRDefault="00E016D9" w:rsidP="002D3A15">
            <w:pPr>
              <w:rPr>
                <w:sz w:val="20"/>
                <w:szCs w:val="20"/>
              </w:rPr>
            </w:pPr>
            <w:r w:rsidRPr="00094632">
              <w:rPr>
                <w:sz w:val="20"/>
                <w:szCs w:val="20"/>
              </w:rPr>
              <w:t>CHD</w:t>
            </w:r>
          </w:p>
          <w:p w14:paraId="188B6D2E" w14:textId="77777777" w:rsidR="00675E6A" w:rsidRDefault="00675E6A" w:rsidP="002D3A15">
            <w:pPr>
              <w:rPr>
                <w:sz w:val="20"/>
                <w:szCs w:val="20"/>
              </w:rPr>
            </w:pPr>
          </w:p>
          <w:p w14:paraId="7E7ACB67" w14:textId="77777777" w:rsidR="00E016D9" w:rsidRPr="00094632" w:rsidRDefault="00E016D9" w:rsidP="002D3A15">
            <w:pPr>
              <w:rPr>
                <w:sz w:val="20"/>
                <w:szCs w:val="20"/>
              </w:rPr>
            </w:pPr>
            <w:r w:rsidRPr="00094632">
              <w:rPr>
                <w:sz w:val="20"/>
                <w:szCs w:val="20"/>
              </w:rPr>
              <w:t>Lung cancer</w:t>
            </w:r>
          </w:p>
          <w:p w14:paraId="47DA2F5F" w14:textId="77777777" w:rsidR="00E016D9" w:rsidRPr="00094632" w:rsidRDefault="00E016D9" w:rsidP="002D3A15">
            <w:pPr>
              <w:rPr>
                <w:sz w:val="20"/>
                <w:szCs w:val="20"/>
              </w:rPr>
            </w:pPr>
          </w:p>
        </w:tc>
        <w:tc>
          <w:tcPr>
            <w:tcW w:w="5473" w:type="dxa"/>
          </w:tcPr>
          <w:p w14:paraId="18581A38" w14:textId="77777777" w:rsidR="00E016D9" w:rsidRPr="002B3724" w:rsidRDefault="00E016D9" w:rsidP="002D3A15">
            <w:pPr>
              <w:rPr>
                <w:sz w:val="20"/>
                <w:szCs w:val="20"/>
              </w:rPr>
            </w:pPr>
            <w:r w:rsidRPr="00094632">
              <w:rPr>
                <w:sz w:val="20"/>
                <w:szCs w:val="20"/>
              </w:rPr>
              <w:lastRenderedPageBreak/>
              <w:t xml:space="preserve">Women’s Health Initiative </w:t>
            </w:r>
            <w:r w:rsidRPr="002B3724">
              <w:rPr>
                <w:sz w:val="20"/>
                <w:szCs w:val="20"/>
              </w:rPr>
              <w:t>study</w:t>
            </w:r>
            <w:r w:rsidR="00BC20F3">
              <w:rPr>
                <w:sz w:val="20"/>
                <w:szCs w:val="20"/>
              </w:rPr>
              <w:t xml:space="preserve"> (Miller et al., 2007)</w:t>
            </w:r>
          </w:p>
          <w:p w14:paraId="37E83695" w14:textId="77777777" w:rsidR="00675E6A" w:rsidRDefault="00675E6A" w:rsidP="002D3A15">
            <w:pPr>
              <w:rPr>
                <w:sz w:val="20"/>
                <w:szCs w:val="20"/>
              </w:rPr>
            </w:pPr>
          </w:p>
          <w:p w14:paraId="06F28D7F" w14:textId="77777777" w:rsidR="00E016D9" w:rsidRPr="00094632" w:rsidRDefault="00E016D9" w:rsidP="002D3A15">
            <w:pPr>
              <w:rPr>
                <w:sz w:val="20"/>
                <w:szCs w:val="20"/>
              </w:rPr>
            </w:pPr>
            <w:r w:rsidRPr="00094632">
              <w:rPr>
                <w:sz w:val="20"/>
                <w:szCs w:val="20"/>
              </w:rPr>
              <w:t xml:space="preserve">American Cancer Society </w:t>
            </w:r>
            <w:r w:rsidRPr="002B3724">
              <w:rPr>
                <w:sz w:val="20"/>
                <w:szCs w:val="20"/>
              </w:rPr>
              <w:t>study</w:t>
            </w:r>
            <w:r w:rsidR="00BC20F3">
              <w:rPr>
                <w:sz w:val="20"/>
                <w:szCs w:val="20"/>
              </w:rPr>
              <w:t xml:space="preserve"> (Pope et al., 2002; 2004)</w:t>
            </w:r>
          </w:p>
        </w:tc>
        <w:tc>
          <w:tcPr>
            <w:tcW w:w="5419" w:type="dxa"/>
          </w:tcPr>
          <w:p w14:paraId="222AE8A0" w14:textId="77777777" w:rsidR="00E016D9" w:rsidRPr="00094632" w:rsidRDefault="00E016D9" w:rsidP="002D3A15">
            <w:pPr>
              <w:rPr>
                <w:sz w:val="20"/>
                <w:szCs w:val="20"/>
              </w:rPr>
            </w:pPr>
            <w:r w:rsidRPr="00094632">
              <w:rPr>
                <w:sz w:val="20"/>
                <w:szCs w:val="20"/>
              </w:rPr>
              <w:t>1.21 increase in CHD per 10 µg m</w:t>
            </w:r>
            <w:r w:rsidRPr="00094632">
              <w:rPr>
                <w:sz w:val="20"/>
                <w:szCs w:val="20"/>
                <w:vertAlign w:val="superscript"/>
              </w:rPr>
              <w:t>-3</w:t>
            </w:r>
            <w:r w:rsidRPr="00094632">
              <w:rPr>
                <w:sz w:val="20"/>
                <w:szCs w:val="20"/>
              </w:rPr>
              <w:t xml:space="preserve"> based on cohort study of women in US.</w:t>
            </w:r>
          </w:p>
          <w:p w14:paraId="632B1166" w14:textId="77777777" w:rsidR="00E016D9" w:rsidRPr="00094632" w:rsidRDefault="00E016D9" w:rsidP="002D3A15">
            <w:pPr>
              <w:rPr>
                <w:sz w:val="20"/>
                <w:szCs w:val="20"/>
              </w:rPr>
            </w:pPr>
            <w:r w:rsidRPr="00094632">
              <w:rPr>
                <w:sz w:val="20"/>
                <w:szCs w:val="20"/>
              </w:rPr>
              <w:t>1.14 increase in lung cancer per 10 µg m</w:t>
            </w:r>
            <w:r w:rsidRPr="00094632">
              <w:rPr>
                <w:sz w:val="20"/>
                <w:szCs w:val="20"/>
                <w:vertAlign w:val="superscript"/>
              </w:rPr>
              <w:t>-3</w:t>
            </w:r>
            <w:r w:rsidRPr="00094632">
              <w:rPr>
                <w:sz w:val="20"/>
                <w:szCs w:val="20"/>
              </w:rPr>
              <w:t xml:space="preserve"> based on American </w:t>
            </w:r>
            <w:r w:rsidRPr="00094632">
              <w:rPr>
                <w:sz w:val="20"/>
                <w:szCs w:val="20"/>
              </w:rPr>
              <w:lastRenderedPageBreak/>
              <w:t>Cancer Society lu</w:t>
            </w:r>
            <w:r w:rsidR="007E7C91">
              <w:rPr>
                <w:sz w:val="20"/>
                <w:szCs w:val="20"/>
              </w:rPr>
              <w:t>ng-cancer mortality coefficient</w:t>
            </w:r>
          </w:p>
          <w:p w14:paraId="064756A4" w14:textId="77777777" w:rsidR="00E016D9" w:rsidRPr="00094632" w:rsidRDefault="00E016D9" w:rsidP="002D3A15">
            <w:pPr>
              <w:rPr>
                <w:sz w:val="20"/>
                <w:szCs w:val="20"/>
              </w:rPr>
            </w:pPr>
          </w:p>
        </w:tc>
      </w:tr>
    </w:tbl>
    <w:p w14:paraId="436A92D6" w14:textId="77777777" w:rsidR="00BA2DB9" w:rsidRPr="001F139A" w:rsidRDefault="00E016D9" w:rsidP="002D3A15">
      <w:pPr>
        <w:spacing w:line="240" w:lineRule="auto"/>
        <w:rPr>
          <w:sz w:val="20"/>
          <w:szCs w:val="20"/>
        </w:rPr>
        <w:sectPr w:rsidR="00BA2DB9" w:rsidRPr="001F139A" w:rsidSect="00C85855">
          <w:footerReference w:type="default" r:id="rId14"/>
          <w:pgSz w:w="16838" w:h="11906" w:orient="landscape"/>
          <w:pgMar w:top="1440" w:right="1440" w:bottom="1440" w:left="1440" w:header="708" w:footer="708" w:gutter="0"/>
          <w:cols w:space="708"/>
          <w:docGrid w:linePitch="360"/>
        </w:sectPr>
      </w:pPr>
      <w:r w:rsidRPr="001F139A">
        <w:rPr>
          <w:sz w:val="20"/>
          <w:szCs w:val="20"/>
          <w:vertAlign w:val="superscript"/>
        </w:rPr>
        <w:lastRenderedPageBreak/>
        <w:t>a</w:t>
      </w:r>
      <w:r w:rsidRPr="001F139A">
        <w:rPr>
          <w:sz w:val="20"/>
          <w:szCs w:val="20"/>
        </w:rPr>
        <w:t>http://www.ons.gov.uk</w:t>
      </w:r>
      <w:r w:rsidR="006268AE">
        <w:rPr>
          <w:sz w:val="20"/>
          <w:szCs w:val="20"/>
        </w:rPr>
        <w:br/>
      </w:r>
      <w:r w:rsidRPr="001F139A">
        <w:rPr>
          <w:sz w:val="20"/>
          <w:szCs w:val="20"/>
          <w:vertAlign w:val="superscript"/>
        </w:rPr>
        <w:t>b</w:t>
      </w:r>
      <w:r w:rsidRPr="001F139A">
        <w:rPr>
          <w:sz w:val="20"/>
          <w:szCs w:val="20"/>
        </w:rPr>
        <w:t>http://www.hesonline.nhs.uk</w:t>
      </w:r>
      <w:r w:rsidR="006268AE">
        <w:rPr>
          <w:sz w:val="20"/>
          <w:szCs w:val="20"/>
        </w:rPr>
        <w:br/>
      </w:r>
      <w:r w:rsidRPr="001F139A">
        <w:rPr>
          <w:sz w:val="20"/>
          <w:szCs w:val="20"/>
          <w:vertAlign w:val="superscript"/>
        </w:rPr>
        <w:t>c</w:t>
      </w:r>
      <w:r w:rsidRPr="001F139A">
        <w:rPr>
          <w:sz w:val="20"/>
          <w:szCs w:val="20"/>
        </w:rPr>
        <w:t>http://www.cancerresearchuk.org</w:t>
      </w:r>
      <w:r w:rsidR="006268AE">
        <w:rPr>
          <w:sz w:val="20"/>
          <w:szCs w:val="20"/>
        </w:rPr>
        <w:br/>
      </w:r>
      <w:proofErr w:type="spellStart"/>
      <w:r w:rsidR="001F139A" w:rsidRPr="001F139A">
        <w:rPr>
          <w:sz w:val="20"/>
          <w:szCs w:val="20"/>
          <w:vertAlign w:val="superscript"/>
        </w:rPr>
        <w:t>d</w:t>
      </w:r>
      <w:r w:rsidR="001F139A">
        <w:rPr>
          <w:sz w:val="20"/>
          <w:szCs w:val="20"/>
        </w:rPr>
        <w:t>B</w:t>
      </w:r>
      <w:r w:rsidRPr="001F139A">
        <w:rPr>
          <w:sz w:val="20"/>
          <w:szCs w:val="20"/>
        </w:rPr>
        <w:t>ased</w:t>
      </w:r>
      <w:proofErr w:type="spellEnd"/>
      <w:r w:rsidRPr="001F139A">
        <w:rPr>
          <w:sz w:val="20"/>
          <w:szCs w:val="20"/>
        </w:rPr>
        <w:t xml:space="preserve"> on ambient PM</w:t>
      </w:r>
      <w:r w:rsidRPr="001F139A">
        <w:rPr>
          <w:sz w:val="20"/>
          <w:szCs w:val="20"/>
          <w:vertAlign w:val="subscript"/>
        </w:rPr>
        <w:t>2.5</w:t>
      </w:r>
      <w:r w:rsidRPr="001F139A">
        <w:rPr>
          <w:sz w:val="20"/>
          <w:szCs w:val="20"/>
        </w:rPr>
        <w:t xml:space="preserve"> given lack of equivalent epidemiologic evidence for indoor PM</w:t>
      </w:r>
      <w:r w:rsidRPr="001F139A">
        <w:rPr>
          <w:sz w:val="20"/>
          <w:szCs w:val="20"/>
          <w:vertAlign w:val="subscript"/>
        </w:rPr>
        <w:t>2.5</w:t>
      </w:r>
      <w:r w:rsidRPr="001F139A">
        <w:rPr>
          <w:sz w:val="20"/>
          <w:szCs w:val="20"/>
        </w:rPr>
        <w:t xml:space="preserve"> exposure</w:t>
      </w:r>
    </w:p>
    <w:p w14:paraId="6A8FE565" w14:textId="77777777" w:rsidR="00593CD8" w:rsidRDefault="00BA2DB9" w:rsidP="002D3A15">
      <w:pPr>
        <w:spacing w:line="240" w:lineRule="auto"/>
      </w:pPr>
      <w:r w:rsidRPr="00B36B25">
        <w:rPr>
          <w:b/>
        </w:rPr>
        <w:lastRenderedPageBreak/>
        <w:t>Table 2</w:t>
      </w:r>
      <w:r w:rsidR="00710182">
        <w:rPr>
          <w:b/>
        </w:rPr>
        <w:t>.</w:t>
      </w:r>
      <w:r w:rsidR="00183E6C" w:rsidRPr="00B36B25">
        <w:t xml:space="preserve"> Summary </w:t>
      </w:r>
      <w:r w:rsidR="00B36B25" w:rsidRPr="00B36B25">
        <w:t>results of home energy efficiency health impact assessment</w:t>
      </w:r>
      <w:r w:rsidR="006268AE" w:rsidRPr="00B36B25">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44"/>
        <w:gridCol w:w="2268"/>
        <w:gridCol w:w="2330"/>
      </w:tblGrid>
      <w:tr w:rsidR="001F139A" w:rsidRPr="001F139A" w14:paraId="66F94827" w14:textId="77777777" w:rsidTr="00F17457">
        <w:trPr>
          <w:trHeight w:val="238"/>
        </w:trPr>
        <w:tc>
          <w:tcPr>
            <w:tcW w:w="4644" w:type="dxa"/>
            <w:vMerge w:val="restart"/>
            <w:vAlign w:val="center"/>
          </w:tcPr>
          <w:p w14:paraId="2D6042BD" w14:textId="77777777" w:rsidR="001F139A" w:rsidRPr="001F139A" w:rsidRDefault="00B36B25" w:rsidP="002D3A15">
            <w:pPr>
              <w:rPr>
                <w:sz w:val="20"/>
                <w:szCs w:val="20"/>
              </w:rPr>
            </w:pPr>
            <w:r>
              <w:rPr>
                <w:sz w:val="20"/>
                <w:szCs w:val="20"/>
              </w:rPr>
              <w:t>Health outcome</w:t>
            </w:r>
          </w:p>
        </w:tc>
        <w:tc>
          <w:tcPr>
            <w:tcW w:w="4598" w:type="dxa"/>
            <w:gridSpan w:val="2"/>
          </w:tcPr>
          <w:p w14:paraId="60ED077A" w14:textId="77777777" w:rsidR="007F785E" w:rsidRDefault="007F785E" w:rsidP="002D3A15">
            <w:pPr>
              <w:jc w:val="center"/>
              <w:rPr>
                <w:sz w:val="20"/>
                <w:szCs w:val="20"/>
                <w:highlight w:val="yellow"/>
              </w:rPr>
            </w:pPr>
          </w:p>
          <w:p w14:paraId="0044C3B8" w14:textId="77777777" w:rsidR="001F139A" w:rsidRDefault="00B36B25" w:rsidP="002D3A15">
            <w:pPr>
              <w:jc w:val="center"/>
              <w:rPr>
                <w:sz w:val="20"/>
                <w:szCs w:val="20"/>
              </w:rPr>
            </w:pPr>
            <w:r>
              <w:rPr>
                <w:sz w:val="20"/>
                <w:szCs w:val="20"/>
              </w:rPr>
              <w:t>Increase due to intervention</w:t>
            </w:r>
          </w:p>
          <w:p w14:paraId="691508A3" w14:textId="77777777" w:rsidR="007F785E" w:rsidRPr="001F139A" w:rsidRDefault="007F785E" w:rsidP="002D3A15">
            <w:pPr>
              <w:jc w:val="center"/>
              <w:rPr>
                <w:sz w:val="20"/>
                <w:szCs w:val="20"/>
              </w:rPr>
            </w:pPr>
          </w:p>
        </w:tc>
      </w:tr>
      <w:tr w:rsidR="001F139A" w:rsidRPr="001F139A" w14:paraId="3243F3E3" w14:textId="77777777" w:rsidTr="00B95EAC">
        <w:trPr>
          <w:trHeight w:val="334"/>
        </w:trPr>
        <w:tc>
          <w:tcPr>
            <w:tcW w:w="4644" w:type="dxa"/>
            <w:vMerge/>
            <w:tcBorders>
              <w:bottom w:val="single" w:sz="4" w:space="0" w:color="auto"/>
            </w:tcBorders>
          </w:tcPr>
          <w:p w14:paraId="045200D3" w14:textId="77777777" w:rsidR="001F139A" w:rsidRPr="001F139A" w:rsidRDefault="001F139A" w:rsidP="002D3A15">
            <w:pPr>
              <w:rPr>
                <w:sz w:val="20"/>
                <w:szCs w:val="20"/>
              </w:rPr>
            </w:pPr>
          </w:p>
        </w:tc>
        <w:tc>
          <w:tcPr>
            <w:tcW w:w="2268" w:type="dxa"/>
            <w:tcBorders>
              <w:bottom w:val="single" w:sz="4" w:space="0" w:color="auto"/>
            </w:tcBorders>
          </w:tcPr>
          <w:p w14:paraId="58F64D68" w14:textId="77777777" w:rsidR="007F785E" w:rsidRDefault="007F785E" w:rsidP="002D3A15">
            <w:pPr>
              <w:jc w:val="center"/>
              <w:rPr>
                <w:sz w:val="20"/>
                <w:szCs w:val="20"/>
              </w:rPr>
            </w:pPr>
          </w:p>
          <w:p w14:paraId="7C0475CE" w14:textId="77777777" w:rsidR="001F139A" w:rsidRDefault="001F139A" w:rsidP="002D3A15">
            <w:pPr>
              <w:jc w:val="center"/>
              <w:rPr>
                <w:sz w:val="20"/>
                <w:szCs w:val="20"/>
              </w:rPr>
            </w:pPr>
            <w:r w:rsidRPr="001F139A">
              <w:rPr>
                <w:sz w:val="20"/>
                <w:szCs w:val="20"/>
              </w:rPr>
              <w:t>With asthma recovery</w:t>
            </w:r>
          </w:p>
          <w:p w14:paraId="522856AC" w14:textId="77777777" w:rsidR="007F785E" w:rsidRPr="001F139A" w:rsidRDefault="007F785E" w:rsidP="002D3A15">
            <w:pPr>
              <w:jc w:val="center"/>
              <w:rPr>
                <w:sz w:val="20"/>
                <w:szCs w:val="20"/>
              </w:rPr>
            </w:pPr>
          </w:p>
        </w:tc>
        <w:tc>
          <w:tcPr>
            <w:tcW w:w="2330" w:type="dxa"/>
            <w:tcBorders>
              <w:bottom w:val="single" w:sz="4" w:space="0" w:color="auto"/>
            </w:tcBorders>
          </w:tcPr>
          <w:p w14:paraId="7091E19E" w14:textId="77777777" w:rsidR="007F785E" w:rsidRDefault="007F785E" w:rsidP="002D3A15">
            <w:pPr>
              <w:jc w:val="center"/>
              <w:rPr>
                <w:sz w:val="20"/>
                <w:szCs w:val="20"/>
              </w:rPr>
            </w:pPr>
          </w:p>
          <w:p w14:paraId="27896223" w14:textId="77777777" w:rsidR="001F139A" w:rsidRDefault="001F139A" w:rsidP="002D3A15">
            <w:pPr>
              <w:jc w:val="center"/>
              <w:rPr>
                <w:sz w:val="20"/>
                <w:szCs w:val="20"/>
              </w:rPr>
            </w:pPr>
            <w:r w:rsidRPr="001F139A">
              <w:rPr>
                <w:sz w:val="20"/>
                <w:szCs w:val="20"/>
              </w:rPr>
              <w:t>Without asthma recovery</w:t>
            </w:r>
          </w:p>
          <w:p w14:paraId="5C869661" w14:textId="77777777" w:rsidR="007F785E" w:rsidRPr="001F139A" w:rsidRDefault="007F785E" w:rsidP="002D3A15">
            <w:pPr>
              <w:jc w:val="center"/>
              <w:rPr>
                <w:sz w:val="20"/>
                <w:szCs w:val="20"/>
              </w:rPr>
            </w:pPr>
          </w:p>
        </w:tc>
      </w:tr>
      <w:tr w:rsidR="001F139A" w:rsidRPr="001F139A" w14:paraId="058145A6" w14:textId="77777777" w:rsidTr="00F17457">
        <w:trPr>
          <w:trHeight w:val="422"/>
        </w:trPr>
        <w:tc>
          <w:tcPr>
            <w:tcW w:w="4644" w:type="dxa"/>
            <w:tcBorders>
              <w:top w:val="nil"/>
              <w:bottom w:val="nil"/>
            </w:tcBorders>
          </w:tcPr>
          <w:p w14:paraId="73F00D79" w14:textId="77777777" w:rsidR="001F139A" w:rsidRPr="001F139A" w:rsidRDefault="00B36B25" w:rsidP="002D3A15">
            <w:pPr>
              <w:rPr>
                <w:sz w:val="20"/>
                <w:szCs w:val="20"/>
              </w:rPr>
            </w:pPr>
            <w:r>
              <w:rPr>
                <w:sz w:val="20"/>
                <w:szCs w:val="20"/>
              </w:rPr>
              <w:t>Q</w:t>
            </w:r>
            <w:r w:rsidR="001F139A">
              <w:rPr>
                <w:sz w:val="20"/>
                <w:szCs w:val="20"/>
              </w:rPr>
              <w:t>uality-adjusted life years (</w:t>
            </w:r>
            <w:r w:rsidR="001F139A" w:rsidRPr="001F139A">
              <w:rPr>
                <w:sz w:val="20"/>
                <w:szCs w:val="20"/>
              </w:rPr>
              <w:t>QALY</w:t>
            </w:r>
            <w:r w:rsidR="001F139A">
              <w:rPr>
                <w:sz w:val="20"/>
                <w:szCs w:val="20"/>
              </w:rPr>
              <w:t xml:space="preserve">) </w:t>
            </w:r>
            <w:r w:rsidR="006268AE">
              <w:rPr>
                <w:sz w:val="20"/>
                <w:szCs w:val="20"/>
              </w:rPr>
              <w:t xml:space="preserve">lived </w:t>
            </w:r>
            <w:r w:rsidR="001F139A">
              <w:rPr>
                <w:sz w:val="20"/>
                <w:szCs w:val="20"/>
              </w:rPr>
              <w:t xml:space="preserve">over 90 </w:t>
            </w:r>
            <w:proofErr w:type="spellStart"/>
            <w:r w:rsidR="001F139A" w:rsidRPr="006268AE">
              <w:rPr>
                <w:sz w:val="20"/>
                <w:szCs w:val="20"/>
              </w:rPr>
              <w:t>years</w:t>
            </w:r>
            <w:r w:rsidR="006268AE" w:rsidRPr="006268AE">
              <w:rPr>
                <w:sz w:val="20"/>
                <w:szCs w:val="20"/>
                <w:vertAlign w:val="superscript"/>
              </w:rPr>
              <w:t>a</w:t>
            </w:r>
            <w:proofErr w:type="spellEnd"/>
          </w:p>
        </w:tc>
        <w:tc>
          <w:tcPr>
            <w:tcW w:w="2268" w:type="dxa"/>
            <w:tcBorders>
              <w:top w:val="nil"/>
              <w:bottom w:val="nil"/>
            </w:tcBorders>
          </w:tcPr>
          <w:p w14:paraId="5B41DC22" w14:textId="77777777" w:rsidR="001F139A" w:rsidRPr="001F139A" w:rsidRDefault="006268AE" w:rsidP="002D3A15">
            <w:pPr>
              <w:jc w:val="center"/>
              <w:rPr>
                <w:sz w:val="20"/>
                <w:szCs w:val="20"/>
              </w:rPr>
            </w:pPr>
            <w:r>
              <w:rPr>
                <w:sz w:val="20"/>
                <w:szCs w:val="20"/>
              </w:rPr>
              <w:t>13,155,000</w:t>
            </w:r>
          </w:p>
        </w:tc>
        <w:tc>
          <w:tcPr>
            <w:tcW w:w="2330" w:type="dxa"/>
            <w:tcBorders>
              <w:top w:val="nil"/>
              <w:bottom w:val="nil"/>
            </w:tcBorders>
          </w:tcPr>
          <w:p w14:paraId="08A6E3E4" w14:textId="77777777" w:rsidR="001F139A" w:rsidRPr="001F139A" w:rsidRDefault="006268AE" w:rsidP="002D3A15">
            <w:pPr>
              <w:jc w:val="center"/>
              <w:rPr>
                <w:sz w:val="20"/>
                <w:szCs w:val="20"/>
              </w:rPr>
            </w:pPr>
            <w:r>
              <w:rPr>
                <w:sz w:val="20"/>
                <w:szCs w:val="20"/>
              </w:rPr>
              <w:t>13,245,000</w:t>
            </w:r>
          </w:p>
        </w:tc>
      </w:tr>
      <w:tr w:rsidR="001F139A" w:rsidRPr="001F139A" w14:paraId="5FAD8141" w14:textId="77777777" w:rsidTr="00F17457">
        <w:tc>
          <w:tcPr>
            <w:tcW w:w="4644" w:type="dxa"/>
            <w:tcBorders>
              <w:top w:val="nil"/>
              <w:bottom w:val="nil"/>
            </w:tcBorders>
          </w:tcPr>
          <w:p w14:paraId="4B599E09" w14:textId="77777777" w:rsidR="001F139A" w:rsidRPr="001F139A" w:rsidRDefault="00B36B25" w:rsidP="002D3A15">
            <w:pPr>
              <w:rPr>
                <w:sz w:val="20"/>
                <w:szCs w:val="20"/>
              </w:rPr>
            </w:pPr>
            <w:r>
              <w:rPr>
                <w:sz w:val="20"/>
                <w:szCs w:val="20"/>
              </w:rPr>
              <w:t>Q</w:t>
            </w:r>
            <w:r w:rsidR="001F139A" w:rsidRPr="001F139A">
              <w:rPr>
                <w:sz w:val="20"/>
                <w:szCs w:val="20"/>
              </w:rPr>
              <w:t xml:space="preserve">uality-adjusted life expectancy (QALE) at </w:t>
            </w:r>
            <w:proofErr w:type="spellStart"/>
            <w:r w:rsidR="001F139A" w:rsidRPr="001F139A">
              <w:rPr>
                <w:sz w:val="20"/>
                <w:szCs w:val="20"/>
              </w:rPr>
              <w:t>birth</w:t>
            </w:r>
            <w:r w:rsidR="006268AE">
              <w:rPr>
                <w:sz w:val="20"/>
                <w:szCs w:val="20"/>
                <w:vertAlign w:val="superscript"/>
              </w:rPr>
              <w:t>b</w:t>
            </w:r>
            <w:proofErr w:type="spellEnd"/>
          </w:p>
        </w:tc>
        <w:tc>
          <w:tcPr>
            <w:tcW w:w="2268" w:type="dxa"/>
            <w:tcBorders>
              <w:top w:val="nil"/>
              <w:bottom w:val="nil"/>
            </w:tcBorders>
          </w:tcPr>
          <w:p w14:paraId="4810A9F8" w14:textId="77777777" w:rsidR="001F139A" w:rsidRPr="001F139A" w:rsidRDefault="001F139A" w:rsidP="002D3A15">
            <w:pPr>
              <w:jc w:val="center"/>
              <w:rPr>
                <w:sz w:val="20"/>
                <w:szCs w:val="20"/>
              </w:rPr>
            </w:pPr>
          </w:p>
        </w:tc>
        <w:tc>
          <w:tcPr>
            <w:tcW w:w="2330" w:type="dxa"/>
            <w:tcBorders>
              <w:top w:val="nil"/>
              <w:bottom w:val="nil"/>
            </w:tcBorders>
          </w:tcPr>
          <w:p w14:paraId="42555BBF" w14:textId="77777777" w:rsidR="001F139A" w:rsidRPr="001F139A" w:rsidRDefault="001F139A" w:rsidP="002D3A15">
            <w:pPr>
              <w:jc w:val="center"/>
              <w:rPr>
                <w:sz w:val="20"/>
                <w:szCs w:val="20"/>
              </w:rPr>
            </w:pPr>
          </w:p>
        </w:tc>
      </w:tr>
      <w:tr w:rsidR="008E534C" w:rsidRPr="001F139A" w14:paraId="3AA19EBC" w14:textId="77777777" w:rsidTr="00F17457">
        <w:tc>
          <w:tcPr>
            <w:tcW w:w="4644" w:type="dxa"/>
            <w:tcBorders>
              <w:top w:val="nil"/>
              <w:bottom w:val="nil"/>
            </w:tcBorders>
          </w:tcPr>
          <w:p w14:paraId="1E4496C6" w14:textId="77777777" w:rsidR="008E534C" w:rsidRPr="001F139A" w:rsidRDefault="008E534C" w:rsidP="002D3A15">
            <w:pPr>
              <w:ind w:left="720"/>
              <w:rPr>
                <w:sz w:val="20"/>
                <w:szCs w:val="20"/>
              </w:rPr>
            </w:pPr>
            <w:r>
              <w:rPr>
                <w:sz w:val="20"/>
                <w:szCs w:val="20"/>
              </w:rPr>
              <w:t>Males</w:t>
            </w:r>
          </w:p>
        </w:tc>
        <w:tc>
          <w:tcPr>
            <w:tcW w:w="2268" w:type="dxa"/>
            <w:tcBorders>
              <w:top w:val="nil"/>
              <w:bottom w:val="nil"/>
            </w:tcBorders>
          </w:tcPr>
          <w:p w14:paraId="4858DC95" w14:textId="77777777" w:rsidR="008E534C" w:rsidRPr="001F139A" w:rsidRDefault="008E534C" w:rsidP="002D3A15">
            <w:pPr>
              <w:jc w:val="center"/>
              <w:rPr>
                <w:sz w:val="20"/>
                <w:szCs w:val="20"/>
              </w:rPr>
            </w:pPr>
            <w:r>
              <w:rPr>
                <w:sz w:val="20"/>
                <w:szCs w:val="20"/>
              </w:rPr>
              <w:t>101 days</w:t>
            </w:r>
          </w:p>
        </w:tc>
        <w:tc>
          <w:tcPr>
            <w:tcW w:w="2330" w:type="dxa"/>
            <w:tcBorders>
              <w:top w:val="nil"/>
              <w:bottom w:val="nil"/>
            </w:tcBorders>
          </w:tcPr>
          <w:p w14:paraId="141311E1" w14:textId="77777777" w:rsidR="008E534C" w:rsidRPr="001F139A" w:rsidRDefault="008E534C" w:rsidP="002D3A15">
            <w:pPr>
              <w:jc w:val="center"/>
              <w:rPr>
                <w:sz w:val="20"/>
                <w:szCs w:val="20"/>
              </w:rPr>
            </w:pPr>
            <w:r>
              <w:rPr>
                <w:sz w:val="20"/>
                <w:szCs w:val="20"/>
              </w:rPr>
              <w:t>101 days</w:t>
            </w:r>
          </w:p>
        </w:tc>
      </w:tr>
      <w:tr w:rsidR="008E534C" w:rsidRPr="001F139A" w14:paraId="0D88E5B5" w14:textId="77777777" w:rsidTr="00F17457">
        <w:trPr>
          <w:trHeight w:val="355"/>
        </w:trPr>
        <w:tc>
          <w:tcPr>
            <w:tcW w:w="4644" w:type="dxa"/>
            <w:tcBorders>
              <w:top w:val="nil"/>
            </w:tcBorders>
          </w:tcPr>
          <w:p w14:paraId="65535C66" w14:textId="77777777" w:rsidR="008E534C" w:rsidRPr="001F139A" w:rsidRDefault="008E534C" w:rsidP="002D3A15">
            <w:pPr>
              <w:ind w:left="720"/>
              <w:rPr>
                <w:sz w:val="20"/>
                <w:szCs w:val="20"/>
              </w:rPr>
            </w:pPr>
            <w:r>
              <w:rPr>
                <w:sz w:val="20"/>
                <w:szCs w:val="20"/>
              </w:rPr>
              <w:t>Females</w:t>
            </w:r>
          </w:p>
        </w:tc>
        <w:tc>
          <w:tcPr>
            <w:tcW w:w="2268" w:type="dxa"/>
            <w:tcBorders>
              <w:top w:val="nil"/>
            </w:tcBorders>
          </w:tcPr>
          <w:p w14:paraId="4A0CA78B" w14:textId="77777777" w:rsidR="008E534C" w:rsidRPr="001F139A" w:rsidRDefault="008E534C" w:rsidP="002D3A15">
            <w:pPr>
              <w:jc w:val="center"/>
              <w:rPr>
                <w:sz w:val="20"/>
                <w:szCs w:val="20"/>
              </w:rPr>
            </w:pPr>
            <w:r>
              <w:rPr>
                <w:sz w:val="20"/>
                <w:szCs w:val="20"/>
              </w:rPr>
              <w:t>68 days</w:t>
            </w:r>
          </w:p>
        </w:tc>
        <w:tc>
          <w:tcPr>
            <w:tcW w:w="2330" w:type="dxa"/>
            <w:tcBorders>
              <w:top w:val="nil"/>
            </w:tcBorders>
          </w:tcPr>
          <w:p w14:paraId="62846E50" w14:textId="77777777" w:rsidR="008E534C" w:rsidRPr="001F139A" w:rsidRDefault="008E534C" w:rsidP="002D3A15">
            <w:pPr>
              <w:jc w:val="center"/>
              <w:rPr>
                <w:sz w:val="20"/>
                <w:szCs w:val="20"/>
              </w:rPr>
            </w:pPr>
            <w:r>
              <w:rPr>
                <w:sz w:val="20"/>
                <w:szCs w:val="20"/>
              </w:rPr>
              <w:t>69 days</w:t>
            </w:r>
          </w:p>
        </w:tc>
      </w:tr>
    </w:tbl>
    <w:p w14:paraId="072E19B5" w14:textId="13B45C1A" w:rsidR="008110C4" w:rsidRPr="007B5FD3" w:rsidRDefault="006268AE" w:rsidP="005D5EA1">
      <w:pPr>
        <w:spacing w:line="240" w:lineRule="auto"/>
      </w:pPr>
      <w:proofErr w:type="spellStart"/>
      <w:proofErr w:type="gramStart"/>
      <w:r>
        <w:rPr>
          <w:sz w:val="20"/>
          <w:szCs w:val="20"/>
          <w:vertAlign w:val="superscript"/>
        </w:rPr>
        <w:t>a</w:t>
      </w:r>
      <w:r>
        <w:rPr>
          <w:sz w:val="20"/>
          <w:szCs w:val="20"/>
        </w:rPr>
        <w:t>R</w:t>
      </w:r>
      <w:r w:rsidR="00150162">
        <w:rPr>
          <w:sz w:val="20"/>
          <w:szCs w:val="20"/>
        </w:rPr>
        <w:t>esults</w:t>
      </w:r>
      <w:proofErr w:type="spellEnd"/>
      <w:proofErr w:type="gramEnd"/>
      <w:r w:rsidR="00150162">
        <w:rPr>
          <w:sz w:val="20"/>
          <w:szCs w:val="20"/>
        </w:rPr>
        <w:t xml:space="preserve"> r</w:t>
      </w:r>
      <w:r>
        <w:rPr>
          <w:sz w:val="20"/>
          <w:szCs w:val="20"/>
        </w:rPr>
        <w:t>ounded to nearest 1,000</w:t>
      </w:r>
      <w:r>
        <w:rPr>
          <w:sz w:val="20"/>
          <w:szCs w:val="20"/>
        </w:rPr>
        <w:br/>
      </w:r>
      <w:proofErr w:type="spellStart"/>
      <w:r>
        <w:rPr>
          <w:sz w:val="20"/>
          <w:szCs w:val="20"/>
          <w:vertAlign w:val="superscript"/>
        </w:rPr>
        <w:t>b</w:t>
      </w:r>
      <w:r w:rsidR="001F139A" w:rsidRPr="001F139A">
        <w:rPr>
          <w:sz w:val="20"/>
          <w:szCs w:val="20"/>
        </w:rPr>
        <w:t>For</w:t>
      </w:r>
      <w:proofErr w:type="spellEnd"/>
      <w:r w:rsidR="001F139A" w:rsidRPr="001F139A">
        <w:rPr>
          <w:sz w:val="20"/>
          <w:szCs w:val="20"/>
        </w:rPr>
        <w:t xml:space="preserve"> 2009 </w:t>
      </w:r>
      <w:r w:rsidR="005D5EA1">
        <w:rPr>
          <w:sz w:val="20"/>
          <w:szCs w:val="20"/>
        </w:rPr>
        <w:t>birth cohort</w:t>
      </w:r>
    </w:p>
    <w:sectPr w:rsidR="008110C4" w:rsidRPr="007B5FD3" w:rsidSect="007B5F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9BF84" w14:textId="77777777" w:rsidR="00C45F36" w:rsidRDefault="00C45F36" w:rsidP="00E25948">
      <w:pPr>
        <w:spacing w:after="0" w:line="240" w:lineRule="auto"/>
      </w:pPr>
      <w:r>
        <w:separator/>
      </w:r>
    </w:p>
  </w:endnote>
  <w:endnote w:type="continuationSeparator" w:id="0">
    <w:p w14:paraId="7C75DCED" w14:textId="77777777" w:rsidR="00C45F36" w:rsidRDefault="00C45F36" w:rsidP="00E2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1891"/>
      <w:docPartObj>
        <w:docPartGallery w:val="Page Numbers (Bottom of Page)"/>
        <w:docPartUnique/>
      </w:docPartObj>
    </w:sdtPr>
    <w:sdtEndPr/>
    <w:sdtContent>
      <w:p w14:paraId="0CAE0986" w14:textId="77777777" w:rsidR="00657DB6" w:rsidRDefault="00B72BAC">
        <w:pPr>
          <w:pStyle w:val="Footer"/>
          <w:jc w:val="center"/>
        </w:pPr>
        <w:r>
          <w:fldChar w:fldCharType="begin"/>
        </w:r>
        <w:r>
          <w:instrText xml:space="preserve"> PAGE   \* MERGEFORMAT </w:instrText>
        </w:r>
        <w:r>
          <w:fldChar w:fldCharType="separate"/>
        </w:r>
        <w:r w:rsidR="00EC1434">
          <w:rPr>
            <w:noProof/>
          </w:rPr>
          <w:t>21</w:t>
        </w:r>
        <w:r>
          <w:rPr>
            <w:noProof/>
          </w:rPr>
          <w:fldChar w:fldCharType="end"/>
        </w:r>
      </w:p>
    </w:sdtContent>
  </w:sdt>
  <w:p w14:paraId="0BB00597" w14:textId="77777777" w:rsidR="00657DB6" w:rsidRDefault="00657D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6235"/>
      <w:docPartObj>
        <w:docPartGallery w:val="Page Numbers (Bottom of Page)"/>
        <w:docPartUnique/>
      </w:docPartObj>
    </w:sdtPr>
    <w:sdtEndPr/>
    <w:sdtContent>
      <w:p w14:paraId="13D5A253" w14:textId="77777777" w:rsidR="00657DB6" w:rsidRDefault="00B72BAC">
        <w:pPr>
          <w:pStyle w:val="Footer"/>
          <w:jc w:val="center"/>
        </w:pPr>
        <w:r>
          <w:fldChar w:fldCharType="begin"/>
        </w:r>
        <w:r>
          <w:instrText xml:space="preserve"> PAGE   \* MERGEFORMAT </w:instrText>
        </w:r>
        <w:r>
          <w:fldChar w:fldCharType="separate"/>
        </w:r>
        <w:r w:rsidR="00EC1434">
          <w:rPr>
            <w:noProof/>
          </w:rPr>
          <w:t>24</w:t>
        </w:r>
        <w:r>
          <w:rPr>
            <w:noProof/>
          </w:rPr>
          <w:fldChar w:fldCharType="end"/>
        </w:r>
      </w:p>
    </w:sdtContent>
  </w:sdt>
  <w:p w14:paraId="05C118E8" w14:textId="77777777" w:rsidR="00657DB6" w:rsidRDefault="00657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0583A" w14:textId="77777777" w:rsidR="00C45F36" w:rsidRDefault="00C45F36" w:rsidP="00E25948">
      <w:pPr>
        <w:spacing w:after="0" w:line="240" w:lineRule="auto"/>
      </w:pPr>
      <w:r>
        <w:separator/>
      </w:r>
    </w:p>
  </w:footnote>
  <w:footnote w:type="continuationSeparator" w:id="0">
    <w:p w14:paraId="27069800" w14:textId="77777777" w:rsidR="00C45F36" w:rsidRDefault="00C45F36" w:rsidP="00E259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0.75pt;height:425.25pt;visibility:visible;mso-wrap-style:square" o:bullet="t">
        <v:imagedata r:id="rId1" o:title=""/>
      </v:shape>
    </w:pict>
  </w:numPicBullet>
  <w:abstractNum w:abstractNumId="0">
    <w:nsid w:val="12601903"/>
    <w:multiLevelType w:val="hybridMultilevel"/>
    <w:tmpl w:val="8B5E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011094"/>
    <w:multiLevelType w:val="hybridMultilevel"/>
    <w:tmpl w:val="3D5E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454D9E"/>
    <w:multiLevelType w:val="hybridMultilevel"/>
    <w:tmpl w:val="FBFC7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527FAD"/>
    <w:multiLevelType w:val="hybridMultilevel"/>
    <w:tmpl w:val="A382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834B10"/>
    <w:multiLevelType w:val="hybridMultilevel"/>
    <w:tmpl w:val="AECC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A339C3"/>
    <w:multiLevelType w:val="hybridMultilevel"/>
    <w:tmpl w:val="A40A9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9257F8"/>
    <w:multiLevelType w:val="hybridMultilevel"/>
    <w:tmpl w:val="F8463F9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70457D"/>
    <w:multiLevelType w:val="hybridMultilevel"/>
    <w:tmpl w:val="3592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8802C4"/>
    <w:multiLevelType w:val="multilevel"/>
    <w:tmpl w:val="A9D4CA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6B7F0F"/>
    <w:multiLevelType w:val="hybridMultilevel"/>
    <w:tmpl w:val="96388BA2"/>
    <w:lvl w:ilvl="0" w:tplc="2A7C3D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E2F010D"/>
    <w:multiLevelType w:val="multilevel"/>
    <w:tmpl w:val="85B015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61041A33"/>
    <w:multiLevelType w:val="multilevel"/>
    <w:tmpl w:val="ABF6A7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72D238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4"/>
  </w:num>
  <w:num w:numId="3">
    <w:abstractNumId w:val="1"/>
  </w:num>
  <w:num w:numId="4">
    <w:abstractNumId w:val="5"/>
  </w:num>
  <w:num w:numId="5">
    <w:abstractNumId w:val="9"/>
  </w:num>
  <w:num w:numId="6">
    <w:abstractNumId w:val="0"/>
  </w:num>
  <w:num w:numId="7">
    <w:abstractNumId w:val="3"/>
  </w:num>
  <w:num w:numId="8">
    <w:abstractNumId w:val="10"/>
  </w:num>
  <w:num w:numId="9">
    <w:abstractNumId w:val="7"/>
  </w:num>
  <w:num w:numId="10">
    <w:abstractNumId w:val="8"/>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38015AC5-ED1B-4E11-B6B6-82C2A84EE130}"/>
    <w:docVar w:name="dgnword-eventsink" w:val="37348216"/>
  </w:docVars>
  <w:rsids>
    <w:rsidRoot w:val="0052190F"/>
    <w:rsid w:val="00000E9F"/>
    <w:rsid w:val="000016DC"/>
    <w:rsid w:val="0000202F"/>
    <w:rsid w:val="00003E29"/>
    <w:rsid w:val="00004321"/>
    <w:rsid w:val="000058CD"/>
    <w:rsid w:val="00005CA3"/>
    <w:rsid w:val="00005F31"/>
    <w:rsid w:val="00006E49"/>
    <w:rsid w:val="00007A7B"/>
    <w:rsid w:val="00007E96"/>
    <w:rsid w:val="0001028E"/>
    <w:rsid w:val="00011255"/>
    <w:rsid w:val="00011A82"/>
    <w:rsid w:val="000123FB"/>
    <w:rsid w:val="00012734"/>
    <w:rsid w:val="00012C05"/>
    <w:rsid w:val="0001503F"/>
    <w:rsid w:val="00015A3F"/>
    <w:rsid w:val="00016341"/>
    <w:rsid w:val="00016CB7"/>
    <w:rsid w:val="000211F8"/>
    <w:rsid w:val="00021CF0"/>
    <w:rsid w:val="00021F4C"/>
    <w:rsid w:val="000237BD"/>
    <w:rsid w:val="00023F1E"/>
    <w:rsid w:val="00024D1D"/>
    <w:rsid w:val="00030113"/>
    <w:rsid w:val="000315B5"/>
    <w:rsid w:val="00031908"/>
    <w:rsid w:val="000322AE"/>
    <w:rsid w:val="000338D6"/>
    <w:rsid w:val="00034B09"/>
    <w:rsid w:val="000355AB"/>
    <w:rsid w:val="0003621F"/>
    <w:rsid w:val="00037C00"/>
    <w:rsid w:val="00040EAC"/>
    <w:rsid w:val="0004100F"/>
    <w:rsid w:val="000427AA"/>
    <w:rsid w:val="000443FF"/>
    <w:rsid w:val="00045D20"/>
    <w:rsid w:val="000515C3"/>
    <w:rsid w:val="000524DC"/>
    <w:rsid w:val="000542C4"/>
    <w:rsid w:val="0005533A"/>
    <w:rsid w:val="0005681D"/>
    <w:rsid w:val="000576DB"/>
    <w:rsid w:val="0005774F"/>
    <w:rsid w:val="000578A4"/>
    <w:rsid w:val="00061032"/>
    <w:rsid w:val="0006272B"/>
    <w:rsid w:val="00063297"/>
    <w:rsid w:val="00064DD6"/>
    <w:rsid w:val="000651E5"/>
    <w:rsid w:val="00065381"/>
    <w:rsid w:val="0006592D"/>
    <w:rsid w:val="00065C91"/>
    <w:rsid w:val="0007089F"/>
    <w:rsid w:val="00071A83"/>
    <w:rsid w:val="0007296C"/>
    <w:rsid w:val="00072FED"/>
    <w:rsid w:val="00073CFE"/>
    <w:rsid w:val="000743D2"/>
    <w:rsid w:val="00075B31"/>
    <w:rsid w:val="00075C11"/>
    <w:rsid w:val="000867A5"/>
    <w:rsid w:val="000900B6"/>
    <w:rsid w:val="00090836"/>
    <w:rsid w:val="00093066"/>
    <w:rsid w:val="000934DF"/>
    <w:rsid w:val="00094632"/>
    <w:rsid w:val="00094A8B"/>
    <w:rsid w:val="000954AB"/>
    <w:rsid w:val="00096D31"/>
    <w:rsid w:val="000A043F"/>
    <w:rsid w:val="000A0A0B"/>
    <w:rsid w:val="000A1677"/>
    <w:rsid w:val="000A2D69"/>
    <w:rsid w:val="000A30FE"/>
    <w:rsid w:val="000A3283"/>
    <w:rsid w:val="000A3892"/>
    <w:rsid w:val="000A4E1A"/>
    <w:rsid w:val="000A6B54"/>
    <w:rsid w:val="000A7668"/>
    <w:rsid w:val="000B0141"/>
    <w:rsid w:val="000B1074"/>
    <w:rsid w:val="000B126C"/>
    <w:rsid w:val="000B17F7"/>
    <w:rsid w:val="000B1FB1"/>
    <w:rsid w:val="000B228C"/>
    <w:rsid w:val="000B3451"/>
    <w:rsid w:val="000B3AD7"/>
    <w:rsid w:val="000B6F9C"/>
    <w:rsid w:val="000B71DC"/>
    <w:rsid w:val="000B7E0A"/>
    <w:rsid w:val="000C0021"/>
    <w:rsid w:val="000C0EF7"/>
    <w:rsid w:val="000C203A"/>
    <w:rsid w:val="000C27B8"/>
    <w:rsid w:val="000C3B4A"/>
    <w:rsid w:val="000C45F1"/>
    <w:rsid w:val="000C6B12"/>
    <w:rsid w:val="000C6EBC"/>
    <w:rsid w:val="000C7419"/>
    <w:rsid w:val="000D269A"/>
    <w:rsid w:val="000D276D"/>
    <w:rsid w:val="000D38E8"/>
    <w:rsid w:val="000D4CD8"/>
    <w:rsid w:val="000D54FA"/>
    <w:rsid w:val="000D660C"/>
    <w:rsid w:val="000D6DE1"/>
    <w:rsid w:val="000D78EA"/>
    <w:rsid w:val="000E0BDD"/>
    <w:rsid w:val="000E1694"/>
    <w:rsid w:val="000E1BDC"/>
    <w:rsid w:val="000E2378"/>
    <w:rsid w:val="000E2953"/>
    <w:rsid w:val="000E3A81"/>
    <w:rsid w:val="000E3E0D"/>
    <w:rsid w:val="000E4A38"/>
    <w:rsid w:val="000E6EE9"/>
    <w:rsid w:val="000E7CB3"/>
    <w:rsid w:val="000F19C2"/>
    <w:rsid w:val="000F2FAF"/>
    <w:rsid w:val="000F31B5"/>
    <w:rsid w:val="000F6C50"/>
    <w:rsid w:val="000F6C88"/>
    <w:rsid w:val="000F72D5"/>
    <w:rsid w:val="000F74CC"/>
    <w:rsid w:val="000F7866"/>
    <w:rsid w:val="00100157"/>
    <w:rsid w:val="001006AE"/>
    <w:rsid w:val="00100E8E"/>
    <w:rsid w:val="00101EAA"/>
    <w:rsid w:val="001032C4"/>
    <w:rsid w:val="0010406C"/>
    <w:rsid w:val="00104754"/>
    <w:rsid w:val="001054D4"/>
    <w:rsid w:val="00105616"/>
    <w:rsid w:val="001060A5"/>
    <w:rsid w:val="001119D0"/>
    <w:rsid w:val="0011210D"/>
    <w:rsid w:val="001123C2"/>
    <w:rsid w:val="00112F01"/>
    <w:rsid w:val="0011302B"/>
    <w:rsid w:val="00113226"/>
    <w:rsid w:val="00114410"/>
    <w:rsid w:val="001151C6"/>
    <w:rsid w:val="00115E11"/>
    <w:rsid w:val="00116000"/>
    <w:rsid w:val="00116A15"/>
    <w:rsid w:val="00116A43"/>
    <w:rsid w:val="0011757A"/>
    <w:rsid w:val="00117A74"/>
    <w:rsid w:val="00120A1F"/>
    <w:rsid w:val="00122EE5"/>
    <w:rsid w:val="00123758"/>
    <w:rsid w:val="00130F6C"/>
    <w:rsid w:val="0013179D"/>
    <w:rsid w:val="0013315E"/>
    <w:rsid w:val="00133342"/>
    <w:rsid w:val="001341AA"/>
    <w:rsid w:val="00134D60"/>
    <w:rsid w:val="001415E6"/>
    <w:rsid w:val="00143219"/>
    <w:rsid w:val="001441E5"/>
    <w:rsid w:val="00144F3D"/>
    <w:rsid w:val="00145275"/>
    <w:rsid w:val="00146C5C"/>
    <w:rsid w:val="00147383"/>
    <w:rsid w:val="00150162"/>
    <w:rsid w:val="00151B73"/>
    <w:rsid w:val="00151FFD"/>
    <w:rsid w:val="00152883"/>
    <w:rsid w:val="00153F66"/>
    <w:rsid w:val="0015435E"/>
    <w:rsid w:val="001568B4"/>
    <w:rsid w:val="0015692E"/>
    <w:rsid w:val="00157747"/>
    <w:rsid w:val="00157759"/>
    <w:rsid w:val="00157818"/>
    <w:rsid w:val="00160020"/>
    <w:rsid w:val="00160D7B"/>
    <w:rsid w:val="001624B3"/>
    <w:rsid w:val="00162694"/>
    <w:rsid w:val="00162814"/>
    <w:rsid w:val="00163B11"/>
    <w:rsid w:val="00163F76"/>
    <w:rsid w:val="001668B6"/>
    <w:rsid w:val="001673EB"/>
    <w:rsid w:val="00167F25"/>
    <w:rsid w:val="00170376"/>
    <w:rsid w:val="00170CED"/>
    <w:rsid w:val="0017170F"/>
    <w:rsid w:val="00173CA1"/>
    <w:rsid w:val="0017453B"/>
    <w:rsid w:val="00174AB8"/>
    <w:rsid w:val="00174DA1"/>
    <w:rsid w:val="00174F28"/>
    <w:rsid w:val="0017567A"/>
    <w:rsid w:val="00175785"/>
    <w:rsid w:val="00176748"/>
    <w:rsid w:val="00176827"/>
    <w:rsid w:val="00177AA4"/>
    <w:rsid w:val="0018083C"/>
    <w:rsid w:val="001817AE"/>
    <w:rsid w:val="00183E6C"/>
    <w:rsid w:val="00185165"/>
    <w:rsid w:val="00185732"/>
    <w:rsid w:val="00186A4D"/>
    <w:rsid w:val="00190924"/>
    <w:rsid w:val="001918D0"/>
    <w:rsid w:val="0019429A"/>
    <w:rsid w:val="00194DF4"/>
    <w:rsid w:val="00195000"/>
    <w:rsid w:val="00195C37"/>
    <w:rsid w:val="00196403"/>
    <w:rsid w:val="001970F2"/>
    <w:rsid w:val="001979FA"/>
    <w:rsid w:val="001A178B"/>
    <w:rsid w:val="001A2059"/>
    <w:rsid w:val="001A5BA7"/>
    <w:rsid w:val="001B1307"/>
    <w:rsid w:val="001B2291"/>
    <w:rsid w:val="001B2454"/>
    <w:rsid w:val="001B2B6A"/>
    <w:rsid w:val="001B3930"/>
    <w:rsid w:val="001B3E9C"/>
    <w:rsid w:val="001B3F12"/>
    <w:rsid w:val="001B551A"/>
    <w:rsid w:val="001B6DE7"/>
    <w:rsid w:val="001B7336"/>
    <w:rsid w:val="001B73E5"/>
    <w:rsid w:val="001C0DCD"/>
    <w:rsid w:val="001C164B"/>
    <w:rsid w:val="001C29D3"/>
    <w:rsid w:val="001C4B09"/>
    <w:rsid w:val="001C540B"/>
    <w:rsid w:val="001C5F2D"/>
    <w:rsid w:val="001D0E09"/>
    <w:rsid w:val="001D284C"/>
    <w:rsid w:val="001D3D55"/>
    <w:rsid w:val="001D5BE5"/>
    <w:rsid w:val="001D5E32"/>
    <w:rsid w:val="001D6027"/>
    <w:rsid w:val="001D62EE"/>
    <w:rsid w:val="001D62FB"/>
    <w:rsid w:val="001E041C"/>
    <w:rsid w:val="001E0584"/>
    <w:rsid w:val="001E0A97"/>
    <w:rsid w:val="001E4C91"/>
    <w:rsid w:val="001E568B"/>
    <w:rsid w:val="001E7CC4"/>
    <w:rsid w:val="001F0AEA"/>
    <w:rsid w:val="001F139A"/>
    <w:rsid w:val="001F179F"/>
    <w:rsid w:val="001F268D"/>
    <w:rsid w:val="001F3465"/>
    <w:rsid w:val="001F3666"/>
    <w:rsid w:val="001F7C0B"/>
    <w:rsid w:val="001F7ED8"/>
    <w:rsid w:val="00200C11"/>
    <w:rsid w:val="0020104F"/>
    <w:rsid w:val="0020111B"/>
    <w:rsid w:val="00201FC4"/>
    <w:rsid w:val="00202FED"/>
    <w:rsid w:val="002033DF"/>
    <w:rsid w:val="0020359D"/>
    <w:rsid w:val="00203A11"/>
    <w:rsid w:val="00203ABC"/>
    <w:rsid w:val="00205783"/>
    <w:rsid w:val="00205DD2"/>
    <w:rsid w:val="0021052E"/>
    <w:rsid w:val="00210613"/>
    <w:rsid w:val="00210B1D"/>
    <w:rsid w:val="0021128C"/>
    <w:rsid w:val="0021338F"/>
    <w:rsid w:val="002156B6"/>
    <w:rsid w:val="00216036"/>
    <w:rsid w:val="0022165C"/>
    <w:rsid w:val="0022353E"/>
    <w:rsid w:val="00223BCF"/>
    <w:rsid w:val="00224E7A"/>
    <w:rsid w:val="00225B2E"/>
    <w:rsid w:val="00226CC4"/>
    <w:rsid w:val="0023099E"/>
    <w:rsid w:val="00230A43"/>
    <w:rsid w:val="00230EE9"/>
    <w:rsid w:val="00232543"/>
    <w:rsid w:val="00232A52"/>
    <w:rsid w:val="00232F20"/>
    <w:rsid w:val="002333EA"/>
    <w:rsid w:val="00233BED"/>
    <w:rsid w:val="00233CF8"/>
    <w:rsid w:val="0023646E"/>
    <w:rsid w:val="00237320"/>
    <w:rsid w:val="00240AC4"/>
    <w:rsid w:val="002412E2"/>
    <w:rsid w:val="00241B22"/>
    <w:rsid w:val="00241CBA"/>
    <w:rsid w:val="0024232F"/>
    <w:rsid w:val="002433EF"/>
    <w:rsid w:val="00244190"/>
    <w:rsid w:val="0024445E"/>
    <w:rsid w:val="0024604D"/>
    <w:rsid w:val="00246401"/>
    <w:rsid w:val="00250770"/>
    <w:rsid w:val="002519D9"/>
    <w:rsid w:val="00251A71"/>
    <w:rsid w:val="00251ADE"/>
    <w:rsid w:val="002527EC"/>
    <w:rsid w:val="00253274"/>
    <w:rsid w:val="002545C9"/>
    <w:rsid w:val="00254983"/>
    <w:rsid w:val="00254CF2"/>
    <w:rsid w:val="002556AF"/>
    <w:rsid w:val="0025771B"/>
    <w:rsid w:val="00257B6C"/>
    <w:rsid w:val="002601A9"/>
    <w:rsid w:val="00260B13"/>
    <w:rsid w:val="00261621"/>
    <w:rsid w:val="0026172D"/>
    <w:rsid w:val="002617BF"/>
    <w:rsid w:val="00261814"/>
    <w:rsid w:val="00263119"/>
    <w:rsid w:val="0026393E"/>
    <w:rsid w:val="00263BAB"/>
    <w:rsid w:val="002642DB"/>
    <w:rsid w:val="00264307"/>
    <w:rsid w:val="00264396"/>
    <w:rsid w:val="00264E41"/>
    <w:rsid w:val="00265799"/>
    <w:rsid w:val="002676C9"/>
    <w:rsid w:val="002704A1"/>
    <w:rsid w:val="002719EF"/>
    <w:rsid w:val="0027320D"/>
    <w:rsid w:val="0027360D"/>
    <w:rsid w:val="002748C1"/>
    <w:rsid w:val="00276A5F"/>
    <w:rsid w:val="00276FA2"/>
    <w:rsid w:val="002772A0"/>
    <w:rsid w:val="002812EB"/>
    <w:rsid w:val="0028161C"/>
    <w:rsid w:val="00282FFE"/>
    <w:rsid w:val="0028399B"/>
    <w:rsid w:val="0028400B"/>
    <w:rsid w:val="00284D48"/>
    <w:rsid w:val="00285750"/>
    <w:rsid w:val="00287511"/>
    <w:rsid w:val="002876FB"/>
    <w:rsid w:val="002908CE"/>
    <w:rsid w:val="002919C8"/>
    <w:rsid w:val="00293802"/>
    <w:rsid w:val="00293A7F"/>
    <w:rsid w:val="002944E2"/>
    <w:rsid w:val="00295500"/>
    <w:rsid w:val="00295C13"/>
    <w:rsid w:val="00295F7C"/>
    <w:rsid w:val="00296AE8"/>
    <w:rsid w:val="00296B5E"/>
    <w:rsid w:val="002977E3"/>
    <w:rsid w:val="00297985"/>
    <w:rsid w:val="00297B5F"/>
    <w:rsid w:val="002A0B6A"/>
    <w:rsid w:val="002A0D57"/>
    <w:rsid w:val="002A0E6D"/>
    <w:rsid w:val="002A1CC6"/>
    <w:rsid w:val="002A2218"/>
    <w:rsid w:val="002A3B87"/>
    <w:rsid w:val="002A3DE1"/>
    <w:rsid w:val="002A4DE3"/>
    <w:rsid w:val="002A4E9C"/>
    <w:rsid w:val="002A4F47"/>
    <w:rsid w:val="002A5602"/>
    <w:rsid w:val="002A565E"/>
    <w:rsid w:val="002A61F4"/>
    <w:rsid w:val="002A7872"/>
    <w:rsid w:val="002A7B41"/>
    <w:rsid w:val="002A7D72"/>
    <w:rsid w:val="002B0A11"/>
    <w:rsid w:val="002B1540"/>
    <w:rsid w:val="002B256E"/>
    <w:rsid w:val="002B2A6E"/>
    <w:rsid w:val="002B2E6A"/>
    <w:rsid w:val="002B2F55"/>
    <w:rsid w:val="002B3724"/>
    <w:rsid w:val="002B3F4F"/>
    <w:rsid w:val="002B58D1"/>
    <w:rsid w:val="002B5B65"/>
    <w:rsid w:val="002B5E1A"/>
    <w:rsid w:val="002B70CF"/>
    <w:rsid w:val="002B7C40"/>
    <w:rsid w:val="002B7FDB"/>
    <w:rsid w:val="002C0744"/>
    <w:rsid w:val="002C0A67"/>
    <w:rsid w:val="002C1590"/>
    <w:rsid w:val="002C1F3D"/>
    <w:rsid w:val="002C2832"/>
    <w:rsid w:val="002C37AA"/>
    <w:rsid w:val="002C3FB7"/>
    <w:rsid w:val="002C4981"/>
    <w:rsid w:val="002C73A2"/>
    <w:rsid w:val="002D1156"/>
    <w:rsid w:val="002D2613"/>
    <w:rsid w:val="002D2AD5"/>
    <w:rsid w:val="002D3A15"/>
    <w:rsid w:val="002D48C8"/>
    <w:rsid w:val="002D5C49"/>
    <w:rsid w:val="002D7BB7"/>
    <w:rsid w:val="002E0270"/>
    <w:rsid w:val="002E2890"/>
    <w:rsid w:val="002E32CD"/>
    <w:rsid w:val="002E3771"/>
    <w:rsid w:val="002E3E54"/>
    <w:rsid w:val="002E537D"/>
    <w:rsid w:val="002E5983"/>
    <w:rsid w:val="002E5D40"/>
    <w:rsid w:val="002E633F"/>
    <w:rsid w:val="002E7A5D"/>
    <w:rsid w:val="002E7E73"/>
    <w:rsid w:val="002E7E9A"/>
    <w:rsid w:val="002F022C"/>
    <w:rsid w:val="002F027E"/>
    <w:rsid w:val="002F035C"/>
    <w:rsid w:val="002F4C43"/>
    <w:rsid w:val="002F4F0A"/>
    <w:rsid w:val="002F580C"/>
    <w:rsid w:val="002F6544"/>
    <w:rsid w:val="00300833"/>
    <w:rsid w:val="003008B0"/>
    <w:rsid w:val="00300A0B"/>
    <w:rsid w:val="00300FF8"/>
    <w:rsid w:val="0030133D"/>
    <w:rsid w:val="00302075"/>
    <w:rsid w:val="00307AB6"/>
    <w:rsid w:val="00307AE3"/>
    <w:rsid w:val="003100CD"/>
    <w:rsid w:val="00311AD3"/>
    <w:rsid w:val="00311BB9"/>
    <w:rsid w:val="00312200"/>
    <w:rsid w:val="003126F6"/>
    <w:rsid w:val="00314DA9"/>
    <w:rsid w:val="00315F9F"/>
    <w:rsid w:val="00317CBA"/>
    <w:rsid w:val="00323439"/>
    <w:rsid w:val="00323724"/>
    <w:rsid w:val="00323812"/>
    <w:rsid w:val="00323A12"/>
    <w:rsid w:val="00324C39"/>
    <w:rsid w:val="00324C78"/>
    <w:rsid w:val="00324FB7"/>
    <w:rsid w:val="0032527B"/>
    <w:rsid w:val="00325932"/>
    <w:rsid w:val="00327503"/>
    <w:rsid w:val="00327AA9"/>
    <w:rsid w:val="00330B34"/>
    <w:rsid w:val="00330F68"/>
    <w:rsid w:val="00331064"/>
    <w:rsid w:val="00331C95"/>
    <w:rsid w:val="003337B2"/>
    <w:rsid w:val="00334897"/>
    <w:rsid w:val="00335200"/>
    <w:rsid w:val="00335DED"/>
    <w:rsid w:val="003364D4"/>
    <w:rsid w:val="00337FAC"/>
    <w:rsid w:val="00340B80"/>
    <w:rsid w:val="00343B01"/>
    <w:rsid w:val="00344C17"/>
    <w:rsid w:val="00345269"/>
    <w:rsid w:val="00347655"/>
    <w:rsid w:val="00347C91"/>
    <w:rsid w:val="00347E5D"/>
    <w:rsid w:val="00347E71"/>
    <w:rsid w:val="00347F48"/>
    <w:rsid w:val="00350E54"/>
    <w:rsid w:val="00352163"/>
    <w:rsid w:val="00353489"/>
    <w:rsid w:val="0035726F"/>
    <w:rsid w:val="003626CF"/>
    <w:rsid w:val="00362A03"/>
    <w:rsid w:val="00362ACE"/>
    <w:rsid w:val="00362DA3"/>
    <w:rsid w:val="00362DA4"/>
    <w:rsid w:val="0036358F"/>
    <w:rsid w:val="0036473D"/>
    <w:rsid w:val="00365A74"/>
    <w:rsid w:val="00370DF4"/>
    <w:rsid w:val="00370DFD"/>
    <w:rsid w:val="00372476"/>
    <w:rsid w:val="00372919"/>
    <w:rsid w:val="00373A5C"/>
    <w:rsid w:val="0037704C"/>
    <w:rsid w:val="0037742E"/>
    <w:rsid w:val="0038119B"/>
    <w:rsid w:val="003834EA"/>
    <w:rsid w:val="00384B68"/>
    <w:rsid w:val="00385159"/>
    <w:rsid w:val="003855DF"/>
    <w:rsid w:val="0038640F"/>
    <w:rsid w:val="00387631"/>
    <w:rsid w:val="00387FCE"/>
    <w:rsid w:val="00390C77"/>
    <w:rsid w:val="00393200"/>
    <w:rsid w:val="00394631"/>
    <w:rsid w:val="00396088"/>
    <w:rsid w:val="003966DA"/>
    <w:rsid w:val="0039689B"/>
    <w:rsid w:val="00396C43"/>
    <w:rsid w:val="00396EB7"/>
    <w:rsid w:val="0039760A"/>
    <w:rsid w:val="00397B81"/>
    <w:rsid w:val="003A2A3C"/>
    <w:rsid w:val="003A4187"/>
    <w:rsid w:val="003A4CC2"/>
    <w:rsid w:val="003A6EBA"/>
    <w:rsid w:val="003A70C3"/>
    <w:rsid w:val="003A77BE"/>
    <w:rsid w:val="003A7D86"/>
    <w:rsid w:val="003B02B8"/>
    <w:rsid w:val="003B139D"/>
    <w:rsid w:val="003B1FC9"/>
    <w:rsid w:val="003B3E6C"/>
    <w:rsid w:val="003B436A"/>
    <w:rsid w:val="003B49CF"/>
    <w:rsid w:val="003B70F7"/>
    <w:rsid w:val="003B76D9"/>
    <w:rsid w:val="003C0168"/>
    <w:rsid w:val="003C202B"/>
    <w:rsid w:val="003C314B"/>
    <w:rsid w:val="003C7172"/>
    <w:rsid w:val="003D020B"/>
    <w:rsid w:val="003D098A"/>
    <w:rsid w:val="003D0D12"/>
    <w:rsid w:val="003D1A3F"/>
    <w:rsid w:val="003D252A"/>
    <w:rsid w:val="003D4150"/>
    <w:rsid w:val="003D44D6"/>
    <w:rsid w:val="003D599C"/>
    <w:rsid w:val="003D60F6"/>
    <w:rsid w:val="003E03CF"/>
    <w:rsid w:val="003E069F"/>
    <w:rsid w:val="003E20DD"/>
    <w:rsid w:val="003E2609"/>
    <w:rsid w:val="003E3549"/>
    <w:rsid w:val="003E4098"/>
    <w:rsid w:val="003E6835"/>
    <w:rsid w:val="003E7477"/>
    <w:rsid w:val="003F1F25"/>
    <w:rsid w:val="003F4D84"/>
    <w:rsid w:val="003F7A26"/>
    <w:rsid w:val="003F7B43"/>
    <w:rsid w:val="0040099A"/>
    <w:rsid w:val="00400F5D"/>
    <w:rsid w:val="00402A59"/>
    <w:rsid w:val="00402F3B"/>
    <w:rsid w:val="004035DC"/>
    <w:rsid w:val="0040394D"/>
    <w:rsid w:val="00404BA6"/>
    <w:rsid w:val="00406354"/>
    <w:rsid w:val="00406A3E"/>
    <w:rsid w:val="0041020A"/>
    <w:rsid w:val="00411177"/>
    <w:rsid w:val="00411525"/>
    <w:rsid w:val="00412DBB"/>
    <w:rsid w:val="0041644B"/>
    <w:rsid w:val="00416705"/>
    <w:rsid w:val="00420B3B"/>
    <w:rsid w:val="00421A14"/>
    <w:rsid w:val="00421B4B"/>
    <w:rsid w:val="00421F7C"/>
    <w:rsid w:val="00422065"/>
    <w:rsid w:val="0042334D"/>
    <w:rsid w:val="004233C5"/>
    <w:rsid w:val="004236A1"/>
    <w:rsid w:val="00424C2C"/>
    <w:rsid w:val="0042507E"/>
    <w:rsid w:val="0042584C"/>
    <w:rsid w:val="004259A1"/>
    <w:rsid w:val="00426E0C"/>
    <w:rsid w:val="004270AC"/>
    <w:rsid w:val="004273D8"/>
    <w:rsid w:val="004279D3"/>
    <w:rsid w:val="0043009A"/>
    <w:rsid w:val="00430987"/>
    <w:rsid w:val="004334D7"/>
    <w:rsid w:val="00433579"/>
    <w:rsid w:val="00433830"/>
    <w:rsid w:val="004351C2"/>
    <w:rsid w:val="00437FB3"/>
    <w:rsid w:val="0044270D"/>
    <w:rsid w:val="0044301A"/>
    <w:rsid w:val="00443A25"/>
    <w:rsid w:val="004459DE"/>
    <w:rsid w:val="00446A7B"/>
    <w:rsid w:val="00450234"/>
    <w:rsid w:val="0045047E"/>
    <w:rsid w:val="004519BA"/>
    <w:rsid w:val="00451A38"/>
    <w:rsid w:val="0045430F"/>
    <w:rsid w:val="00456386"/>
    <w:rsid w:val="0045692C"/>
    <w:rsid w:val="00456A55"/>
    <w:rsid w:val="004605FB"/>
    <w:rsid w:val="004610AD"/>
    <w:rsid w:val="00462A8B"/>
    <w:rsid w:val="00464F4B"/>
    <w:rsid w:val="004654FD"/>
    <w:rsid w:val="00467BF6"/>
    <w:rsid w:val="004705E8"/>
    <w:rsid w:val="00470A15"/>
    <w:rsid w:val="004714D1"/>
    <w:rsid w:val="00471BD1"/>
    <w:rsid w:val="004726EE"/>
    <w:rsid w:val="00472B90"/>
    <w:rsid w:val="00472DED"/>
    <w:rsid w:val="004736B2"/>
    <w:rsid w:val="00474C32"/>
    <w:rsid w:val="004766DF"/>
    <w:rsid w:val="00481423"/>
    <w:rsid w:val="00483DB8"/>
    <w:rsid w:val="004840EA"/>
    <w:rsid w:val="00484382"/>
    <w:rsid w:val="00484FC5"/>
    <w:rsid w:val="004855B2"/>
    <w:rsid w:val="00486A5F"/>
    <w:rsid w:val="00487BE8"/>
    <w:rsid w:val="00492D2B"/>
    <w:rsid w:val="00493E6C"/>
    <w:rsid w:val="00495B69"/>
    <w:rsid w:val="00495BFE"/>
    <w:rsid w:val="00495C5C"/>
    <w:rsid w:val="00496F10"/>
    <w:rsid w:val="0049700D"/>
    <w:rsid w:val="004975E9"/>
    <w:rsid w:val="004A0BE0"/>
    <w:rsid w:val="004A45BC"/>
    <w:rsid w:val="004A53A3"/>
    <w:rsid w:val="004A617B"/>
    <w:rsid w:val="004A6542"/>
    <w:rsid w:val="004A6E90"/>
    <w:rsid w:val="004A77DA"/>
    <w:rsid w:val="004B24E1"/>
    <w:rsid w:val="004B25BF"/>
    <w:rsid w:val="004B4972"/>
    <w:rsid w:val="004B58AB"/>
    <w:rsid w:val="004B750E"/>
    <w:rsid w:val="004B757D"/>
    <w:rsid w:val="004C2017"/>
    <w:rsid w:val="004C3CC9"/>
    <w:rsid w:val="004C49CA"/>
    <w:rsid w:val="004C604A"/>
    <w:rsid w:val="004C6781"/>
    <w:rsid w:val="004C6F1B"/>
    <w:rsid w:val="004C7549"/>
    <w:rsid w:val="004C7F93"/>
    <w:rsid w:val="004D07C1"/>
    <w:rsid w:val="004D121D"/>
    <w:rsid w:val="004D2052"/>
    <w:rsid w:val="004D2B30"/>
    <w:rsid w:val="004D5537"/>
    <w:rsid w:val="004D5A57"/>
    <w:rsid w:val="004D69F3"/>
    <w:rsid w:val="004D7788"/>
    <w:rsid w:val="004E0630"/>
    <w:rsid w:val="004E0960"/>
    <w:rsid w:val="004E1B08"/>
    <w:rsid w:val="004E2C7E"/>
    <w:rsid w:val="004E3EC1"/>
    <w:rsid w:val="004E4B96"/>
    <w:rsid w:val="004E75FD"/>
    <w:rsid w:val="004E7959"/>
    <w:rsid w:val="004F03B2"/>
    <w:rsid w:val="004F04E0"/>
    <w:rsid w:val="004F0B76"/>
    <w:rsid w:val="004F16AC"/>
    <w:rsid w:val="004F3614"/>
    <w:rsid w:val="004F3AF0"/>
    <w:rsid w:val="004F3BAE"/>
    <w:rsid w:val="004F4532"/>
    <w:rsid w:val="004F4688"/>
    <w:rsid w:val="004F61FA"/>
    <w:rsid w:val="004F71AF"/>
    <w:rsid w:val="004F733F"/>
    <w:rsid w:val="004F73A0"/>
    <w:rsid w:val="004F7B38"/>
    <w:rsid w:val="00501C18"/>
    <w:rsid w:val="00501DDC"/>
    <w:rsid w:val="00502F54"/>
    <w:rsid w:val="00503FBA"/>
    <w:rsid w:val="005072BE"/>
    <w:rsid w:val="00507673"/>
    <w:rsid w:val="00512919"/>
    <w:rsid w:val="00512E4A"/>
    <w:rsid w:val="0051488B"/>
    <w:rsid w:val="005153AD"/>
    <w:rsid w:val="0051621F"/>
    <w:rsid w:val="0051706A"/>
    <w:rsid w:val="0051708A"/>
    <w:rsid w:val="005173BC"/>
    <w:rsid w:val="005173E3"/>
    <w:rsid w:val="00520C83"/>
    <w:rsid w:val="0052190F"/>
    <w:rsid w:val="00522741"/>
    <w:rsid w:val="005244F1"/>
    <w:rsid w:val="00524757"/>
    <w:rsid w:val="00525833"/>
    <w:rsid w:val="00525D17"/>
    <w:rsid w:val="00526041"/>
    <w:rsid w:val="0052617A"/>
    <w:rsid w:val="00527D4D"/>
    <w:rsid w:val="00530E27"/>
    <w:rsid w:val="00530F40"/>
    <w:rsid w:val="0053187E"/>
    <w:rsid w:val="0053262A"/>
    <w:rsid w:val="00533671"/>
    <w:rsid w:val="005358A5"/>
    <w:rsid w:val="00536DCF"/>
    <w:rsid w:val="0053788F"/>
    <w:rsid w:val="00537BF1"/>
    <w:rsid w:val="0054019F"/>
    <w:rsid w:val="005405C6"/>
    <w:rsid w:val="00540CC9"/>
    <w:rsid w:val="005431E2"/>
    <w:rsid w:val="00543BFA"/>
    <w:rsid w:val="005448D1"/>
    <w:rsid w:val="005454BB"/>
    <w:rsid w:val="005459EE"/>
    <w:rsid w:val="00547235"/>
    <w:rsid w:val="00550327"/>
    <w:rsid w:val="005510EC"/>
    <w:rsid w:val="00551238"/>
    <w:rsid w:val="005512BC"/>
    <w:rsid w:val="00551334"/>
    <w:rsid w:val="0055297F"/>
    <w:rsid w:val="00552CAF"/>
    <w:rsid w:val="00552D4C"/>
    <w:rsid w:val="00553513"/>
    <w:rsid w:val="0055385D"/>
    <w:rsid w:val="00553E56"/>
    <w:rsid w:val="00556645"/>
    <w:rsid w:val="00556782"/>
    <w:rsid w:val="00556DE1"/>
    <w:rsid w:val="005601A3"/>
    <w:rsid w:val="005608F6"/>
    <w:rsid w:val="00560EA4"/>
    <w:rsid w:val="00562B85"/>
    <w:rsid w:val="0056684E"/>
    <w:rsid w:val="00566AC4"/>
    <w:rsid w:val="005674A5"/>
    <w:rsid w:val="00570CF9"/>
    <w:rsid w:val="00571794"/>
    <w:rsid w:val="005737F5"/>
    <w:rsid w:val="00574044"/>
    <w:rsid w:val="00575F70"/>
    <w:rsid w:val="00576E26"/>
    <w:rsid w:val="00577CC4"/>
    <w:rsid w:val="0058139F"/>
    <w:rsid w:val="0058210E"/>
    <w:rsid w:val="00582F4A"/>
    <w:rsid w:val="00583D9E"/>
    <w:rsid w:val="0058524E"/>
    <w:rsid w:val="00585583"/>
    <w:rsid w:val="005862DB"/>
    <w:rsid w:val="005878A8"/>
    <w:rsid w:val="00587AE3"/>
    <w:rsid w:val="00591445"/>
    <w:rsid w:val="00592502"/>
    <w:rsid w:val="005926BA"/>
    <w:rsid w:val="00593CD8"/>
    <w:rsid w:val="005942AF"/>
    <w:rsid w:val="0059577D"/>
    <w:rsid w:val="00595BE7"/>
    <w:rsid w:val="005960DF"/>
    <w:rsid w:val="00596213"/>
    <w:rsid w:val="00596CA3"/>
    <w:rsid w:val="005A322A"/>
    <w:rsid w:val="005A45DD"/>
    <w:rsid w:val="005A4BCB"/>
    <w:rsid w:val="005A59B3"/>
    <w:rsid w:val="005A63BE"/>
    <w:rsid w:val="005A786E"/>
    <w:rsid w:val="005A7E6F"/>
    <w:rsid w:val="005B0907"/>
    <w:rsid w:val="005B2E94"/>
    <w:rsid w:val="005B3256"/>
    <w:rsid w:val="005B3554"/>
    <w:rsid w:val="005B35F5"/>
    <w:rsid w:val="005B36B3"/>
    <w:rsid w:val="005B4036"/>
    <w:rsid w:val="005B5D48"/>
    <w:rsid w:val="005B649C"/>
    <w:rsid w:val="005B7207"/>
    <w:rsid w:val="005C1EA3"/>
    <w:rsid w:val="005C2FF2"/>
    <w:rsid w:val="005C3305"/>
    <w:rsid w:val="005C379C"/>
    <w:rsid w:val="005C42F6"/>
    <w:rsid w:val="005C65EF"/>
    <w:rsid w:val="005D1DFF"/>
    <w:rsid w:val="005D1E84"/>
    <w:rsid w:val="005D20E8"/>
    <w:rsid w:val="005D5EA1"/>
    <w:rsid w:val="005D62CF"/>
    <w:rsid w:val="005D70AB"/>
    <w:rsid w:val="005D7335"/>
    <w:rsid w:val="005E3C4E"/>
    <w:rsid w:val="005E3FEE"/>
    <w:rsid w:val="005E723C"/>
    <w:rsid w:val="005E7F6B"/>
    <w:rsid w:val="005F1915"/>
    <w:rsid w:val="005F1C10"/>
    <w:rsid w:val="005F20F8"/>
    <w:rsid w:val="005F32B4"/>
    <w:rsid w:val="005F32DA"/>
    <w:rsid w:val="005F4778"/>
    <w:rsid w:val="005F5441"/>
    <w:rsid w:val="005F639B"/>
    <w:rsid w:val="005F7701"/>
    <w:rsid w:val="005F7F8E"/>
    <w:rsid w:val="006018F4"/>
    <w:rsid w:val="006026A0"/>
    <w:rsid w:val="00602ADF"/>
    <w:rsid w:val="00602D85"/>
    <w:rsid w:val="006067D1"/>
    <w:rsid w:val="0061067F"/>
    <w:rsid w:val="006118C2"/>
    <w:rsid w:val="00611BEF"/>
    <w:rsid w:val="00612F1C"/>
    <w:rsid w:val="0061401F"/>
    <w:rsid w:val="00616B07"/>
    <w:rsid w:val="0062009D"/>
    <w:rsid w:val="006204DC"/>
    <w:rsid w:val="00622B00"/>
    <w:rsid w:val="00625739"/>
    <w:rsid w:val="00625F5B"/>
    <w:rsid w:val="006268AE"/>
    <w:rsid w:val="006279E8"/>
    <w:rsid w:val="00631E68"/>
    <w:rsid w:val="00633443"/>
    <w:rsid w:val="006335AA"/>
    <w:rsid w:val="006335FA"/>
    <w:rsid w:val="00635162"/>
    <w:rsid w:val="00635B88"/>
    <w:rsid w:val="00635BB7"/>
    <w:rsid w:val="0063679A"/>
    <w:rsid w:val="00643914"/>
    <w:rsid w:val="00651122"/>
    <w:rsid w:val="00651A21"/>
    <w:rsid w:val="00651E80"/>
    <w:rsid w:val="00652E1F"/>
    <w:rsid w:val="00652F6A"/>
    <w:rsid w:val="00653DD5"/>
    <w:rsid w:val="00654C7D"/>
    <w:rsid w:val="006560BC"/>
    <w:rsid w:val="00656B3A"/>
    <w:rsid w:val="006571BF"/>
    <w:rsid w:val="00657BF1"/>
    <w:rsid w:val="00657DB6"/>
    <w:rsid w:val="00660EE4"/>
    <w:rsid w:val="006612D9"/>
    <w:rsid w:val="00661978"/>
    <w:rsid w:val="00662076"/>
    <w:rsid w:val="00662237"/>
    <w:rsid w:val="00662C13"/>
    <w:rsid w:val="0066304C"/>
    <w:rsid w:val="006631BB"/>
    <w:rsid w:val="006633FC"/>
    <w:rsid w:val="006644AE"/>
    <w:rsid w:val="00664BA7"/>
    <w:rsid w:val="00666D62"/>
    <w:rsid w:val="006679E5"/>
    <w:rsid w:val="0067075D"/>
    <w:rsid w:val="0067136E"/>
    <w:rsid w:val="00672863"/>
    <w:rsid w:val="006729A0"/>
    <w:rsid w:val="00672E2A"/>
    <w:rsid w:val="00672EC4"/>
    <w:rsid w:val="00673EDE"/>
    <w:rsid w:val="006743A3"/>
    <w:rsid w:val="00674649"/>
    <w:rsid w:val="00674EF0"/>
    <w:rsid w:val="00675E6A"/>
    <w:rsid w:val="006775C1"/>
    <w:rsid w:val="00677FE5"/>
    <w:rsid w:val="00680604"/>
    <w:rsid w:val="00681920"/>
    <w:rsid w:val="0068499A"/>
    <w:rsid w:val="00684A31"/>
    <w:rsid w:val="00685A3A"/>
    <w:rsid w:val="006869C4"/>
    <w:rsid w:val="00690688"/>
    <w:rsid w:val="0069106C"/>
    <w:rsid w:val="006921D2"/>
    <w:rsid w:val="00692603"/>
    <w:rsid w:val="00693309"/>
    <w:rsid w:val="00694B5B"/>
    <w:rsid w:val="00697533"/>
    <w:rsid w:val="006976F2"/>
    <w:rsid w:val="006A0158"/>
    <w:rsid w:val="006A3F83"/>
    <w:rsid w:val="006A7AAA"/>
    <w:rsid w:val="006A7E67"/>
    <w:rsid w:val="006B1242"/>
    <w:rsid w:val="006B1F68"/>
    <w:rsid w:val="006B5283"/>
    <w:rsid w:val="006B6DB6"/>
    <w:rsid w:val="006B73C3"/>
    <w:rsid w:val="006B7C71"/>
    <w:rsid w:val="006C3CE2"/>
    <w:rsid w:val="006C46E7"/>
    <w:rsid w:val="006C5940"/>
    <w:rsid w:val="006C5CC7"/>
    <w:rsid w:val="006C5D07"/>
    <w:rsid w:val="006C6FF8"/>
    <w:rsid w:val="006D0CAB"/>
    <w:rsid w:val="006D0F60"/>
    <w:rsid w:val="006D221F"/>
    <w:rsid w:val="006D285E"/>
    <w:rsid w:val="006D44AA"/>
    <w:rsid w:val="006D4566"/>
    <w:rsid w:val="006D4F89"/>
    <w:rsid w:val="006D746A"/>
    <w:rsid w:val="006D7D42"/>
    <w:rsid w:val="006E14BE"/>
    <w:rsid w:val="006E175B"/>
    <w:rsid w:val="006E223E"/>
    <w:rsid w:val="006E300F"/>
    <w:rsid w:val="006E44D5"/>
    <w:rsid w:val="006E4CC0"/>
    <w:rsid w:val="006E69D1"/>
    <w:rsid w:val="006E73BA"/>
    <w:rsid w:val="006E764E"/>
    <w:rsid w:val="006F15C9"/>
    <w:rsid w:val="006F27D4"/>
    <w:rsid w:val="006F3205"/>
    <w:rsid w:val="006F36D6"/>
    <w:rsid w:val="006F6ACB"/>
    <w:rsid w:val="006F6F2A"/>
    <w:rsid w:val="006F72D9"/>
    <w:rsid w:val="00700E7C"/>
    <w:rsid w:val="0070106F"/>
    <w:rsid w:val="007012A5"/>
    <w:rsid w:val="0070153F"/>
    <w:rsid w:val="00702209"/>
    <w:rsid w:val="00702781"/>
    <w:rsid w:val="00704914"/>
    <w:rsid w:val="00704C0D"/>
    <w:rsid w:val="00704FC1"/>
    <w:rsid w:val="007070AD"/>
    <w:rsid w:val="00710182"/>
    <w:rsid w:val="00710EE7"/>
    <w:rsid w:val="007118CF"/>
    <w:rsid w:val="00713D7F"/>
    <w:rsid w:val="00714AE7"/>
    <w:rsid w:val="0071560F"/>
    <w:rsid w:val="00720840"/>
    <w:rsid w:val="00720D90"/>
    <w:rsid w:val="00721CCD"/>
    <w:rsid w:val="00721D4D"/>
    <w:rsid w:val="007232E4"/>
    <w:rsid w:val="00723F97"/>
    <w:rsid w:val="00724962"/>
    <w:rsid w:val="00724A88"/>
    <w:rsid w:val="00724E05"/>
    <w:rsid w:val="00725105"/>
    <w:rsid w:val="00726808"/>
    <w:rsid w:val="00726B38"/>
    <w:rsid w:val="00726FF3"/>
    <w:rsid w:val="0073156E"/>
    <w:rsid w:val="007339F6"/>
    <w:rsid w:val="00734248"/>
    <w:rsid w:val="00735085"/>
    <w:rsid w:val="00735F17"/>
    <w:rsid w:val="007369AD"/>
    <w:rsid w:val="00737FF8"/>
    <w:rsid w:val="00740727"/>
    <w:rsid w:val="0074114F"/>
    <w:rsid w:val="0074474F"/>
    <w:rsid w:val="007455C6"/>
    <w:rsid w:val="007465CA"/>
    <w:rsid w:val="00750F5F"/>
    <w:rsid w:val="00751602"/>
    <w:rsid w:val="00752D6C"/>
    <w:rsid w:val="00753644"/>
    <w:rsid w:val="0075387E"/>
    <w:rsid w:val="007546BA"/>
    <w:rsid w:val="0075657E"/>
    <w:rsid w:val="0076147C"/>
    <w:rsid w:val="00763404"/>
    <w:rsid w:val="00763672"/>
    <w:rsid w:val="007660BB"/>
    <w:rsid w:val="007660E6"/>
    <w:rsid w:val="00767A6F"/>
    <w:rsid w:val="00770DF7"/>
    <w:rsid w:val="00770F36"/>
    <w:rsid w:val="007716BB"/>
    <w:rsid w:val="0077230D"/>
    <w:rsid w:val="00772722"/>
    <w:rsid w:val="007736C9"/>
    <w:rsid w:val="00773F10"/>
    <w:rsid w:val="007745EC"/>
    <w:rsid w:val="0077462B"/>
    <w:rsid w:val="00775A42"/>
    <w:rsid w:val="00776B5B"/>
    <w:rsid w:val="00776F8B"/>
    <w:rsid w:val="0077732D"/>
    <w:rsid w:val="0077769F"/>
    <w:rsid w:val="007779A7"/>
    <w:rsid w:val="00777C49"/>
    <w:rsid w:val="00780380"/>
    <w:rsid w:val="00782A3B"/>
    <w:rsid w:val="00783627"/>
    <w:rsid w:val="007841B8"/>
    <w:rsid w:val="0078453C"/>
    <w:rsid w:val="00784ADD"/>
    <w:rsid w:val="00785D55"/>
    <w:rsid w:val="00787ED9"/>
    <w:rsid w:val="007903BA"/>
    <w:rsid w:val="007908ED"/>
    <w:rsid w:val="00791A9C"/>
    <w:rsid w:val="00794062"/>
    <w:rsid w:val="00795DCE"/>
    <w:rsid w:val="007968F1"/>
    <w:rsid w:val="007A01BC"/>
    <w:rsid w:val="007A2967"/>
    <w:rsid w:val="007A4051"/>
    <w:rsid w:val="007A48BB"/>
    <w:rsid w:val="007A5550"/>
    <w:rsid w:val="007A567F"/>
    <w:rsid w:val="007A5984"/>
    <w:rsid w:val="007A5CCC"/>
    <w:rsid w:val="007A5E13"/>
    <w:rsid w:val="007A6043"/>
    <w:rsid w:val="007A6527"/>
    <w:rsid w:val="007A6D64"/>
    <w:rsid w:val="007A7319"/>
    <w:rsid w:val="007B072D"/>
    <w:rsid w:val="007B0F88"/>
    <w:rsid w:val="007B1484"/>
    <w:rsid w:val="007B1E9C"/>
    <w:rsid w:val="007B2065"/>
    <w:rsid w:val="007B27EF"/>
    <w:rsid w:val="007B2A5C"/>
    <w:rsid w:val="007B3163"/>
    <w:rsid w:val="007B4A7D"/>
    <w:rsid w:val="007B4B1A"/>
    <w:rsid w:val="007B4FB3"/>
    <w:rsid w:val="007B5118"/>
    <w:rsid w:val="007B5FD3"/>
    <w:rsid w:val="007B6B4C"/>
    <w:rsid w:val="007C1469"/>
    <w:rsid w:val="007C16A3"/>
    <w:rsid w:val="007C5541"/>
    <w:rsid w:val="007C6BE9"/>
    <w:rsid w:val="007C7514"/>
    <w:rsid w:val="007C77BD"/>
    <w:rsid w:val="007D022D"/>
    <w:rsid w:val="007D106A"/>
    <w:rsid w:val="007D2741"/>
    <w:rsid w:val="007D40FE"/>
    <w:rsid w:val="007D4356"/>
    <w:rsid w:val="007D53CB"/>
    <w:rsid w:val="007D7A8A"/>
    <w:rsid w:val="007E19B1"/>
    <w:rsid w:val="007E2C5F"/>
    <w:rsid w:val="007E7338"/>
    <w:rsid w:val="007E7C91"/>
    <w:rsid w:val="007F0E51"/>
    <w:rsid w:val="007F10DC"/>
    <w:rsid w:val="007F2FC6"/>
    <w:rsid w:val="007F3001"/>
    <w:rsid w:val="007F379C"/>
    <w:rsid w:val="007F4A13"/>
    <w:rsid w:val="007F53F1"/>
    <w:rsid w:val="007F5BEB"/>
    <w:rsid w:val="007F785E"/>
    <w:rsid w:val="00800206"/>
    <w:rsid w:val="00800711"/>
    <w:rsid w:val="00801637"/>
    <w:rsid w:val="00801A45"/>
    <w:rsid w:val="00802BBC"/>
    <w:rsid w:val="00802BF3"/>
    <w:rsid w:val="00805441"/>
    <w:rsid w:val="00806040"/>
    <w:rsid w:val="0080768B"/>
    <w:rsid w:val="00811013"/>
    <w:rsid w:val="008110C4"/>
    <w:rsid w:val="0081176C"/>
    <w:rsid w:val="0081178F"/>
    <w:rsid w:val="00811AC8"/>
    <w:rsid w:val="0081277B"/>
    <w:rsid w:val="0081401C"/>
    <w:rsid w:val="00816E35"/>
    <w:rsid w:val="0081797D"/>
    <w:rsid w:val="0081798B"/>
    <w:rsid w:val="00817D40"/>
    <w:rsid w:val="008203D0"/>
    <w:rsid w:val="008208B5"/>
    <w:rsid w:val="00821709"/>
    <w:rsid w:val="00821B36"/>
    <w:rsid w:val="0082251B"/>
    <w:rsid w:val="00822908"/>
    <w:rsid w:val="00824433"/>
    <w:rsid w:val="00824540"/>
    <w:rsid w:val="00824B1A"/>
    <w:rsid w:val="0082531A"/>
    <w:rsid w:val="0082615A"/>
    <w:rsid w:val="008308A6"/>
    <w:rsid w:val="00831AED"/>
    <w:rsid w:val="00833AA7"/>
    <w:rsid w:val="008361EE"/>
    <w:rsid w:val="00836814"/>
    <w:rsid w:val="00837E22"/>
    <w:rsid w:val="00837E4E"/>
    <w:rsid w:val="00841F65"/>
    <w:rsid w:val="00842D03"/>
    <w:rsid w:val="00843F1B"/>
    <w:rsid w:val="00844F9B"/>
    <w:rsid w:val="00845F70"/>
    <w:rsid w:val="008471F1"/>
    <w:rsid w:val="00847AD7"/>
    <w:rsid w:val="00850420"/>
    <w:rsid w:val="0085084F"/>
    <w:rsid w:val="008535D8"/>
    <w:rsid w:val="00854271"/>
    <w:rsid w:val="008545C0"/>
    <w:rsid w:val="008551BE"/>
    <w:rsid w:val="0085520A"/>
    <w:rsid w:val="008605B1"/>
    <w:rsid w:val="00860D39"/>
    <w:rsid w:val="008616A4"/>
    <w:rsid w:val="00863AD5"/>
    <w:rsid w:val="00863B76"/>
    <w:rsid w:val="00866673"/>
    <w:rsid w:val="00866902"/>
    <w:rsid w:val="008711F8"/>
    <w:rsid w:val="00872644"/>
    <w:rsid w:val="0087400B"/>
    <w:rsid w:val="0087472C"/>
    <w:rsid w:val="00874ECF"/>
    <w:rsid w:val="00875E9C"/>
    <w:rsid w:val="00876147"/>
    <w:rsid w:val="00876563"/>
    <w:rsid w:val="00876607"/>
    <w:rsid w:val="00877645"/>
    <w:rsid w:val="008777E2"/>
    <w:rsid w:val="008803C6"/>
    <w:rsid w:val="00880E91"/>
    <w:rsid w:val="00881B9E"/>
    <w:rsid w:val="0088343B"/>
    <w:rsid w:val="0088591A"/>
    <w:rsid w:val="008859A9"/>
    <w:rsid w:val="00886075"/>
    <w:rsid w:val="008860DD"/>
    <w:rsid w:val="00886314"/>
    <w:rsid w:val="00886783"/>
    <w:rsid w:val="00886D8E"/>
    <w:rsid w:val="008914AA"/>
    <w:rsid w:val="008915BE"/>
    <w:rsid w:val="00893B69"/>
    <w:rsid w:val="008971DE"/>
    <w:rsid w:val="0089782F"/>
    <w:rsid w:val="00897E6D"/>
    <w:rsid w:val="008A0738"/>
    <w:rsid w:val="008A223A"/>
    <w:rsid w:val="008A3069"/>
    <w:rsid w:val="008A35CE"/>
    <w:rsid w:val="008A47FE"/>
    <w:rsid w:val="008A4C8A"/>
    <w:rsid w:val="008A5947"/>
    <w:rsid w:val="008A7496"/>
    <w:rsid w:val="008B0EEF"/>
    <w:rsid w:val="008B1D35"/>
    <w:rsid w:val="008B21F6"/>
    <w:rsid w:val="008B2221"/>
    <w:rsid w:val="008B33DC"/>
    <w:rsid w:val="008B37E4"/>
    <w:rsid w:val="008B48C5"/>
    <w:rsid w:val="008B57B4"/>
    <w:rsid w:val="008B6033"/>
    <w:rsid w:val="008B60F6"/>
    <w:rsid w:val="008B7595"/>
    <w:rsid w:val="008B7E15"/>
    <w:rsid w:val="008B7E56"/>
    <w:rsid w:val="008B7EFA"/>
    <w:rsid w:val="008C039A"/>
    <w:rsid w:val="008C109E"/>
    <w:rsid w:val="008C2009"/>
    <w:rsid w:val="008C3940"/>
    <w:rsid w:val="008C3C22"/>
    <w:rsid w:val="008C4949"/>
    <w:rsid w:val="008C5EEA"/>
    <w:rsid w:val="008C6434"/>
    <w:rsid w:val="008C6D82"/>
    <w:rsid w:val="008C72FA"/>
    <w:rsid w:val="008C7D12"/>
    <w:rsid w:val="008D13FA"/>
    <w:rsid w:val="008D226D"/>
    <w:rsid w:val="008D3AE1"/>
    <w:rsid w:val="008D45FE"/>
    <w:rsid w:val="008D47E6"/>
    <w:rsid w:val="008D5686"/>
    <w:rsid w:val="008D789A"/>
    <w:rsid w:val="008E21A5"/>
    <w:rsid w:val="008E31AE"/>
    <w:rsid w:val="008E534C"/>
    <w:rsid w:val="008E61CE"/>
    <w:rsid w:val="008E6EA9"/>
    <w:rsid w:val="008E749F"/>
    <w:rsid w:val="008F51FA"/>
    <w:rsid w:val="008F68EF"/>
    <w:rsid w:val="008F707C"/>
    <w:rsid w:val="008F74D2"/>
    <w:rsid w:val="008F7CFB"/>
    <w:rsid w:val="00901539"/>
    <w:rsid w:val="00902247"/>
    <w:rsid w:val="00902F61"/>
    <w:rsid w:val="009048A6"/>
    <w:rsid w:val="00905814"/>
    <w:rsid w:val="009073C4"/>
    <w:rsid w:val="00907C58"/>
    <w:rsid w:val="00910723"/>
    <w:rsid w:val="00911353"/>
    <w:rsid w:val="00911DC7"/>
    <w:rsid w:val="00912C2B"/>
    <w:rsid w:val="00912EF9"/>
    <w:rsid w:val="00914365"/>
    <w:rsid w:val="009146B3"/>
    <w:rsid w:val="0091631E"/>
    <w:rsid w:val="009164AC"/>
    <w:rsid w:val="00916585"/>
    <w:rsid w:val="00916D66"/>
    <w:rsid w:val="00920076"/>
    <w:rsid w:val="00920404"/>
    <w:rsid w:val="00920E27"/>
    <w:rsid w:val="00921659"/>
    <w:rsid w:val="009219DB"/>
    <w:rsid w:val="00921FE7"/>
    <w:rsid w:val="00922629"/>
    <w:rsid w:val="0092262C"/>
    <w:rsid w:val="009235A4"/>
    <w:rsid w:val="00923DE5"/>
    <w:rsid w:val="0092694B"/>
    <w:rsid w:val="00927DEF"/>
    <w:rsid w:val="00931E2C"/>
    <w:rsid w:val="0093204D"/>
    <w:rsid w:val="009333D6"/>
    <w:rsid w:val="0093494D"/>
    <w:rsid w:val="00935001"/>
    <w:rsid w:val="0093520F"/>
    <w:rsid w:val="0093522C"/>
    <w:rsid w:val="009361BC"/>
    <w:rsid w:val="009362F3"/>
    <w:rsid w:val="00936B46"/>
    <w:rsid w:val="009377A4"/>
    <w:rsid w:val="00943378"/>
    <w:rsid w:val="0094393F"/>
    <w:rsid w:val="009442A4"/>
    <w:rsid w:val="00944F3B"/>
    <w:rsid w:val="009465AF"/>
    <w:rsid w:val="0094746D"/>
    <w:rsid w:val="0095059D"/>
    <w:rsid w:val="00950BCA"/>
    <w:rsid w:val="00951C15"/>
    <w:rsid w:val="0095404D"/>
    <w:rsid w:val="00954204"/>
    <w:rsid w:val="00954E53"/>
    <w:rsid w:val="009567F6"/>
    <w:rsid w:val="00960202"/>
    <w:rsid w:val="00961131"/>
    <w:rsid w:val="0096115A"/>
    <w:rsid w:val="00961F5E"/>
    <w:rsid w:val="0096347E"/>
    <w:rsid w:val="00965362"/>
    <w:rsid w:val="00967B63"/>
    <w:rsid w:val="00970684"/>
    <w:rsid w:val="00970AE7"/>
    <w:rsid w:val="00970E86"/>
    <w:rsid w:val="009720C0"/>
    <w:rsid w:val="00972B04"/>
    <w:rsid w:val="009733C7"/>
    <w:rsid w:val="009736DD"/>
    <w:rsid w:val="00973989"/>
    <w:rsid w:val="00975237"/>
    <w:rsid w:val="00975945"/>
    <w:rsid w:val="00976F3D"/>
    <w:rsid w:val="00980293"/>
    <w:rsid w:val="00982FA8"/>
    <w:rsid w:val="00983971"/>
    <w:rsid w:val="00983BB7"/>
    <w:rsid w:val="00983EB5"/>
    <w:rsid w:val="009861FC"/>
    <w:rsid w:val="00987E24"/>
    <w:rsid w:val="009906E2"/>
    <w:rsid w:val="0099111B"/>
    <w:rsid w:val="00991A5F"/>
    <w:rsid w:val="0099248A"/>
    <w:rsid w:val="00992C08"/>
    <w:rsid w:val="0099329E"/>
    <w:rsid w:val="00995AC2"/>
    <w:rsid w:val="009961D2"/>
    <w:rsid w:val="00996FD4"/>
    <w:rsid w:val="009A0448"/>
    <w:rsid w:val="009A0949"/>
    <w:rsid w:val="009A1EE0"/>
    <w:rsid w:val="009A23A6"/>
    <w:rsid w:val="009A2BBC"/>
    <w:rsid w:val="009A6DE8"/>
    <w:rsid w:val="009B0223"/>
    <w:rsid w:val="009B0234"/>
    <w:rsid w:val="009B2E96"/>
    <w:rsid w:val="009B4115"/>
    <w:rsid w:val="009B7561"/>
    <w:rsid w:val="009B7BAC"/>
    <w:rsid w:val="009C0E7C"/>
    <w:rsid w:val="009C0F49"/>
    <w:rsid w:val="009C315D"/>
    <w:rsid w:val="009C358D"/>
    <w:rsid w:val="009C3ED9"/>
    <w:rsid w:val="009C625D"/>
    <w:rsid w:val="009C6FD4"/>
    <w:rsid w:val="009D0264"/>
    <w:rsid w:val="009D0758"/>
    <w:rsid w:val="009D1A11"/>
    <w:rsid w:val="009D3FE8"/>
    <w:rsid w:val="009D5EAA"/>
    <w:rsid w:val="009D720E"/>
    <w:rsid w:val="009D739C"/>
    <w:rsid w:val="009D7F0E"/>
    <w:rsid w:val="009E4993"/>
    <w:rsid w:val="009E6950"/>
    <w:rsid w:val="009F018F"/>
    <w:rsid w:val="009F1BEF"/>
    <w:rsid w:val="009F22DC"/>
    <w:rsid w:val="009F3057"/>
    <w:rsid w:val="009F34AD"/>
    <w:rsid w:val="009F4308"/>
    <w:rsid w:val="009F56EB"/>
    <w:rsid w:val="00A019D7"/>
    <w:rsid w:val="00A021C7"/>
    <w:rsid w:val="00A028B4"/>
    <w:rsid w:val="00A02B15"/>
    <w:rsid w:val="00A04D1D"/>
    <w:rsid w:val="00A07897"/>
    <w:rsid w:val="00A07CA1"/>
    <w:rsid w:val="00A11C68"/>
    <w:rsid w:val="00A11C78"/>
    <w:rsid w:val="00A12138"/>
    <w:rsid w:val="00A12885"/>
    <w:rsid w:val="00A205C1"/>
    <w:rsid w:val="00A21AD2"/>
    <w:rsid w:val="00A25E8A"/>
    <w:rsid w:val="00A2693A"/>
    <w:rsid w:val="00A26D6A"/>
    <w:rsid w:val="00A33011"/>
    <w:rsid w:val="00A3305F"/>
    <w:rsid w:val="00A35DDA"/>
    <w:rsid w:val="00A36DBE"/>
    <w:rsid w:val="00A36E73"/>
    <w:rsid w:val="00A37081"/>
    <w:rsid w:val="00A4037C"/>
    <w:rsid w:val="00A406E6"/>
    <w:rsid w:val="00A42DF9"/>
    <w:rsid w:val="00A4426C"/>
    <w:rsid w:val="00A442B8"/>
    <w:rsid w:val="00A4568C"/>
    <w:rsid w:val="00A46748"/>
    <w:rsid w:val="00A46A19"/>
    <w:rsid w:val="00A4715C"/>
    <w:rsid w:val="00A47D92"/>
    <w:rsid w:val="00A507F8"/>
    <w:rsid w:val="00A51800"/>
    <w:rsid w:val="00A52273"/>
    <w:rsid w:val="00A52630"/>
    <w:rsid w:val="00A529E0"/>
    <w:rsid w:val="00A53BB7"/>
    <w:rsid w:val="00A54C5A"/>
    <w:rsid w:val="00A5769A"/>
    <w:rsid w:val="00A578C8"/>
    <w:rsid w:val="00A60C46"/>
    <w:rsid w:val="00A61824"/>
    <w:rsid w:val="00A6343A"/>
    <w:rsid w:val="00A63B64"/>
    <w:rsid w:val="00A6430F"/>
    <w:rsid w:val="00A64623"/>
    <w:rsid w:val="00A64C28"/>
    <w:rsid w:val="00A66212"/>
    <w:rsid w:val="00A67540"/>
    <w:rsid w:val="00A67A8E"/>
    <w:rsid w:val="00A70AF5"/>
    <w:rsid w:val="00A70ED5"/>
    <w:rsid w:val="00A724A7"/>
    <w:rsid w:val="00A72A13"/>
    <w:rsid w:val="00A72AE8"/>
    <w:rsid w:val="00A738CE"/>
    <w:rsid w:val="00A739F3"/>
    <w:rsid w:val="00A746EC"/>
    <w:rsid w:val="00A74EF0"/>
    <w:rsid w:val="00A75FCA"/>
    <w:rsid w:val="00A774E1"/>
    <w:rsid w:val="00A80109"/>
    <w:rsid w:val="00A80F3B"/>
    <w:rsid w:val="00A839F4"/>
    <w:rsid w:val="00A83E4F"/>
    <w:rsid w:val="00A84018"/>
    <w:rsid w:val="00A85BAB"/>
    <w:rsid w:val="00A86F44"/>
    <w:rsid w:val="00A87505"/>
    <w:rsid w:val="00A878F0"/>
    <w:rsid w:val="00A905F3"/>
    <w:rsid w:val="00A90CA0"/>
    <w:rsid w:val="00A91148"/>
    <w:rsid w:val="00A9231D"/>
    <w:rsid w:val="00A92781"/>
    <w:rsid w:val="00A92A35"/>
    <w:rsid w:val="00A92AFC"/>
    <w:rsid w:val="00A93F44"/>
    <w:rsid w:val="00A93FD5"/>
    <w:rsid w:val="00A951D6"/>
    <w:rsid w:val="00A96FC8"/>
    <w:rsid w:val="00AA06E3"/>
    <w:rsid w:val="00AA079C"/>
    <w:rsid w:val="00AA0D47"/>
    <w:rsid w:val="00AA123F"/>
    <w:rsid w:val="00AA46AF"/>
    <w:rsid w:val="00AA4B13"/>
    <w:rsid w:val="00AA73CE"/>
    <w:rsid w:val="00AA7EA3"/>
    <w:rsid w:val="00AB0473"/>
    <w:rsid w:val="00AB0526"/>
    <w:rsid w:val="00AB08FD"/>
    <w:rsid w:val="00AB200B"/>
    <w:rsid w:val="00AB355E"/>
    <w:rsid w:val="00AB4F63"/>
    <w:rsid w:val="00AB5307"/>
    <w:rsid w:val="00AB7B3A"/>
    <w:rsid w:val="00AC1268"/>
    <w:rsid w:val="00AC2B09"/>
    <w:rsid w:val="00AC33FE"/>
    <w:rsid w:val="00AC3B08"/>
    <w:rsid w:val="00AC48C4"/>
    <w:rsid w:val="00AC5130"/>
    <w:rsid w:val="00AC52C1"/>
    <w:rsid w:val="00AC732B"/>
    <w:rsid w:val="00AC7519"/>
    <w:rsid w:val="00AD205B"/>
    <w:rsid w:val="00AD2C59"/>
    <w:rsid w:val="00AD392A"/>
    <w:rsid w:val="00AD6AF5"/>
    <w:rsid w:val="00AD7600"/>
    <w:rsid w:val="00AD78A9"/>
    <w:rsid w:val="00AE114B"/>
    <w:rsid w:val="00AE1282"/>
    <w:rsid w:val="00AE1DE4"/>
    <w:rsid w:val="00AE2178"/>
    <w:rsid w:val="00AE44D2"/>
    <w:rsid w:val="00AE5E47"/>
    <w:rsid w:val="00AE6105"/>
    <w:rsid w:val="00AE654A"/>
    <w:rsid w:val="00AE7089"/>
    <w:rsid w:val="00AF0CA0"/>
    <w:rsid w:val="00AF1465"/>
    <w:rsid w:val="00AF1BE9"/>
    <w:rsid w:val="00AF281E"/>
    <w:rsid w:val="00AF2963"/>
    <w:rsid w:val="00AF2A03"/>
    <w:rsid w:val="00AF69D3"/>
    <w:rsid w:val="00AF76A5"/>
    <w:rsid w:val="00B02339"/>
    <w:rsid w:val="00B03625"/>
    <w:rsid w:val="00B04160"/>
    <w:rsid w:val="00B0432A"/>
    <w:rsid w:val="00B0472A"/>
    <w:rsid w:val="00B048AB"/>
    <w:rsid w:val="00B04CB2"/>
    <w:rsid w:val="00B05970"/>
    <w:rsid w:val="00B072BD"/>
    <w:rsid w:val="00B07FD7"/>
    <w:rsid w:val="00B1035D"/>
    <w:rsid w:val="00B10520"/>
    <w:rsid w:val="00B106F1"/>
    <w:rsid w:val="00B125E4"/>
    <w:rsid w:val="00B12834"/>
    <w:rsid w:val="00B13A02"/>
    <w:rsid w:val="00B141B0"/>
    <w:rsid w:val="00B159A1"/>
    <w:rsid w:val="00B15D40"/>
    <w:rsid w:val="00B202E2"/>
    <w:rsid w:val="00B20ED1"/>
    <w:rsid w:val="00B210A6"/>
    <w:rsid w:val="00B21571"/>
    <w:rsid w:val="00B215C9"/>
    <w:rsid w:val="00B21F22"/>
    <w:rsid w:val="00B223E1"/>
    <w:rsid w:val="00B23B87"/>
    <w:rsid w:val="00B24033"/>
    <w:rsid w:val="00B2445A"/>
    <w:rsid w:val="00B25DA3"/>
    <w:rsid w:val="00B26EFD"/>
    <w:rsid w:val="00B275F3"/>
    <w:rsid w:val="00B30377"/>
    <w:rsid w:val="00B310E4"/>
    <w:rsid w:val="00B333DF"/>
    <w:rsid w:val="00B3476D"/>
    <w:rsid w:val="00B364CC"/>
    <w:rsid w:val="00B369F4"/>
    <w:rsid w:val="00B36B25"/>
    <w:rsid w:val="00B375BE"/>
    <w:rsid w:val="00B376F3"/>
    <w:rsid w:val="00B37DE4"/>
    <w:rsid w:val="00B40796"/>
    <w:rsid w:val="00B40AB2"/>
    <w:rsid w:val="00B413CC"/>
    <w:rsid w:val="00B43147"/>
    <w:rsid w:val="00B43CCF"/>
    <w:rsid w:val="00B44B3A"/>
    <w:rsid w:val="00B44D63"/>
    <w:rsid w:val="00B4606E"/>
    <w:rsid w:val="00B46820"/>
    <w:rsid w:val="00B469CB"/>
    <w:rsid w:val="00B4719B"/>
    <w:rsid w:val="00B50102"/>
    <w:rsid w:val="00B5389E"/>
    <w:rsid w:val="00B53BD6"/>
    <w:rsid w:val="00B549EE"/>
    <w:rsid w:val="00B54D5E"/>
    <w:rsid w:val="00B54FE6"/>
    <w:rsid w:val="00B557A9"/>
    <w:rsid w:val="00B55B0C"/>
    <w:rsid w:val="00B566AA"/>
    <w:rsid w:val="00B567BD"/>
    <w:rsid w:val="00B618A2"/>
    <w:rsid w:val="00B6191B"/>
    <w:rsid w:val="00B638C7"/>
    <w:rsid w:val="00B707B9"/>
    <w:rsid w:val="00B7091B"/>
    <w:rsid w:val="00B70B50"/>
    <w:rsid w:val="00B71387"/>
    <w:rsid w:val="00B71835"/>
    <w:rsid w:val="00B71D33"/>
    <w:rsid w:val="00B71DD5"/>
    <w:rsid w:val="00B72B24"/>
    <w:rsid w:val="00B72BAC"/>
    <w:rsid w:val="00B732CC"/>
    <w:rsid w:val="00B74BC7"/>
    <w:rsid w:val="00B76DFF"/>
    <w:rsid w:val="00B82734"/>
    <w:rsid w:val="00B830E6"/>
    <w:rsid w:val="00B8365D"/>
    <w:rsid w:val="00B84176"/>
    <w:rsid w:val="00B85864"/>
    <w:rsid w:val="00B870E3"/>
    <w:rsid w:val="00B87B30"/>
    <w:rsid w:val="00B87D97"/>
    <w:rsid w:val="00B91FE8"/>
    <w:rsid w:val="00B957A3"/>
    <w:rsid w:val="00B95ADF"/>
    <w:rsid w:val="00B95D2C"/>
    <w:rsid w:val="00B95EAC"/>
    <w:rsid w:val="00B967BC"/>
    <w:rsid w:val="00B96CC0"/>
    <w:rsid w:val="00BA042B"/>
    <w:rsid w:val="00BA0BB6"/>
    <w:rsid w:val="00BA1941"/>
    <w:rsid w:val="00BA21F9"/>
    <w:rsid w:val="00BA2323"/>
    <w:rsid w:val="00BA2549"/>
    <w:rsid w:val="00BA2DB9"/>
    <w:rsid w:val="00BA54E3"/>
    <w:rsid w:val="00BA7194"/>
    <w:rsid w:val="00BB059E"/>
    <w:rsid w:val="00BB0A81"/>
    <w:rsid w:val="00BB3399"/>
    <w:rsid w:val="00BB3589"/>
    <w:rsid w:val="00BB40D3"/>
    <w:rsid w:val="00BB5CBF"/>
    <w:rsid w:val="00BC0BFC"/>
    <w:rsid w:val="00BC155A"/>
    <w:rsid w:val="00BC20EB"/>
    <w:rsid w:val="00BC20F3"/>
    <w:rsid w:val="00BC417F"/>
    <w:rsid w:val="00BC5716"/>
    <w:rsid w:val="00BC5779"/>
    <w:rsid w:val="00BC5F63"/>
    <w:rsid w:val="00BC6D2E"/>
    <w:rsid w:val="00BC77B4"/>
    <w:rsid w:val="00BD0903"/>
    <w:rsid w:val="00BD0C3A"/>
    <w:rsid w:val="00BD29E9"/>
    <w:rsid w:val="00BD2D49"/>
    <w:rsid w:val="00BD64CB"/>
    <w:rsid w:val="00BD69BB"/>
    <w:rsid w:val="00BD6ACA"/>
    <w:rsid w:val="00BD74B5"/>
    <w:rsid w:val="00BD7BD2"/>
    <w:rsid w:val="00BD7C71"/>
    <w:rsid w:val="00BE198E"/>
    <w:rsid w:val="00BE1A98"/>
    <w:rsid w:val="00BE2CE9"/>
    <w:rsid w:val="00BE35C4"/>
    <w:rsid w:val="00BE4123"/>
    <w:rsid w:val="00BE4AF7"/>
    <w:rsid w:val="00BE6CF0"/>
    <w:rsid w:val="00BF19FB"/>
    <w:rsid w:val="00BF24C9"/>
    <w:rsid w:val="00BF2F87"/>
    <w:rsid w:val="00BF3D36"/>
    <w:rsid w:val="00BF4D97"/>
    <w:rsid w:val="00BF790B"/>
    <w:rsid w:val="00C00292"/>
    <w:rsid w:val="00C00BCB"/>
    <w:rsid w:val="00C0376B"/>
    <w:rsid w:val="00C043D0"/>
    <w:rsid w:val="00C04904"/>
    <w:rsid w:val="00C05EB5"/>
    <w:rsid w:val="00C06D69"/>
    <w:rsid w:val="00C07F52"/>
    <w:rsid w:val="00C11FFC"/>
    <w:rsid w:val="00C1457E"/>
    <w:rsid w:val="00C14C2A"/>
    <w:rsid w:val="00C153ED"/>
    <w:rsid w:val="00C16F23"/>
    <w:rsid w:val="00C1705A"/>
    <w:rsid w:val="00C17B62"/>
    <w:rsid w:val="00C2228B"/>
    <w:rsid w:val="00C222BF"/>
    <w:rsid w:val="00C2372E"/>
    <w:rsid w:val="00C23BEC"/>
    <w:rsid w:val="00C24CA9"/>
    <w:rsid w:val="00C27629"/>
    <w:rsid w:val="00C27E49"/>
    <w:rsid w:val="00C3159B"/>
    <w:rsid w:val="00C3204A"/>
    <w:rsid w:val="00C33097"/>
    <w:rsid w:val="00C36890"/>
    <w:rsid w:val="00C3721C"/>
    <w:rsid w:val="00C37589"/>
    <w:rsid w:val="00C3776A"/>
    <w:rsid w:val="00C37FB6"/>
    <w:rsid w:val="00C40263"/>
    <w:rsid w:val="00C410A0"/>
    <w:rsid w:val="00C41107"/>
    <w:rsid w:val="00C41B28"/>
    <w:rsid w:val="00C4391E"/>
    <w:rsid w:val="00C44307"/>
    <w:rsid w:val="00C45F2A"/>
    <w:rsid w:val="00C45F36"/>
    <w:rsid w:val="00C465EC"/>
    <w:rsid w:val="00C47751"/>
    <w:rsid w:val="00C515A9"/>
    <w:rsid w:val="00C60499"/>
    <w:rsid w:val="00C630B3"/>
    <w:rsid w:val="00C63A87"/>
    <w:rsid w:val="00C6593F"/>
    <w:rsid w:val="00C6613D"/>
    <w:rsid w:val="00C6645B"/>
    <w:rsid w:val="00C70675"/>
    <w:rsid w:val="00C72707"/>
    <w:rsid w:val="00C72C3C"/>
    <w:rsid w:val="00C74C35"/>
    <w:rsid w:val="00C753B4"/>
    <w:rsid w:val="00C76852"/>
    <w:rsid w:val="00C76936"/>
    <w:rsid w:val="00C802EF"/>
    <w:rsid w:val="00C82394"/>
    <w:rsid w:val="00C83363"/>
    <w:rsid w:val="00C83A58"/>
    <w:rsid w:val="00C85855"/>
    <w:rsid w:val="00C85E78"/>
    <w:rsid w:val="00C8622B"/>
    <w:rsid w:val="00C86747"/>
    <w:rsid w:val="00C86F77"/>
    <w:rsid w:val="00C871B1"/>
    <w:rsid w:val="00C87FA0"/>
    <w:rsid w:val="00C90325"/>
    <w:rsid w:val="00C9148F"/>
    <w:rsid w:val="00C9223A"/>
    <w:rsid w:val="00C93AE1"/>
    <w:rsid w:val="00C94400"/>
    <w:rsid w:val="00C958D1"/>
    <w:rsid w:val="00C96449"/>
    <w:rsid w:val="00C96A70"/>
    <w:rsid w:val="00C974C2"/>
    <w:rsid w:val="00CA18A8"/>
    <w:rsid w:val="00CA47E1"/>
    <w:rsid w:val="00CA57D8"/>
    <w:rsid w:val="00CB0493"/>
    <w:rsid w:val="00CB4835"/>
    <w:rsid w:val="00CB5705"/>
    <w:rsid w:val="00CB69E3"/>
    <w:rsid w:val="00CC02A7"/>
    <w:rsid w:val="00CC167C"/>
    <w:rsid w:val="00CC212A"/>
    <w:rsid w:val="00CC323B"/>
    <w:rsid w:val="00CC542A"/>
    <w:rsid w:val="00CC695D"/>
    <w:rsid w:val="00CD0A8F"/>
    <w:rsid w:val="00CD1746"/>
    <w:rsid w:val="00CD21A5"/>
    <w:rsid w:val="00CD278B"/>
    <w:rsid w:val="00CD36B6"/>
    <w:rsid w:val="00CD41E0"/>
    <w:rsid w:val="00CD41F1"/>
    <w:rsid w:val="00CD5317"/>
    <w:rsid w:val="00CD5AFB"/>
    <w:rsid w:val="00CD5B93"/>
    <w:rsid w:val="00CD6715"/>
    <w:rsid w:val="00CD69CF"/>
    <w:rsid w:val="00CD6DFF"/>
    <w:rsid w:val="00CD79C8"/>
    <w:rsid w:val="00CE10A4"/>
    <w:rsid w:val="00CE208C"/>
    <w:rsid w:val="00CE22D3"/>
    <w:rsid w:val="00CE2CDF"/>
    <w:rsid w:val="00CE33EF"/>
    <w:rsid w:val="00CE389F"/>
    <w:rsid w:val="00CE484E"/>
    <w:rsid w:val="00CE4A21"/>
    <w:rsid w:val="00CE4FFD"/>
    <w:rsid w:val="00CE5D0C"/>
    <w:rsid w:val="00CE633B"/>
    <w:rsid w:val="00CF029C"/>
    <w:rsid w:val="00CF1EA6"/>
    <w:rsid w:val="00CF210A"/>
    <w:rsid w:val="00CF2F94"/>
    <w:rsid w:val="00CF3B58"/>
    <w:rsid w:val="00CF4A60"/>
    <w:rsid w:val="00CF5AC0"/>
    <w:rsid w:val="00CF6CE8"/>
    <w:rsid w:val="00CF788B"/>
    <w:rsid w:val="00D02C88"/>
    <w:rsid w:val="00D030B7"/>
    <w:rsid w:val="00D039C4"/>
    <w:rsid w:val="00D04721"/>
    <w:rsid w:val="00D047BF"/>
    <w:rsid w:val="00D06B2D"/>
    <w:rsid w:val="00D07663"/>
    <w:rsid w:val="00D07A8A"/>
    <w:rsid w:val="00D1069B"/>
    <w:rsid w:val="00D112BD"/>
    <w:rsid w:val="00D12614"/>
    <w:rsid w:val="00D14273"/>
    <w:rsid w:val="00D158C1"/>
    <w:rsid w:val="00D15FF7"/>
    <w:rsid w:val="00D16070"/>
    <w:rsid w:val="00D16A71"/>
    <w:rsid w:val="00D17729"/>
    <w:rsid w:val="00D20E78"/>
    <w:rsid w:val="00D20F33"/>
    <w:rsid w:val="00D213ED"/>
    <w:rsid w:val="00D22C98"/>
    <w:rsid w:val="00D23AF2"/>
    <w:rsid w:val="00D25EDF"/>
    <w:rsid w:val="00D31034"/>
    <w:rsid w:val="00D31932"/>
    <w:rsid w:val="00D31CC9"/>
    <w:rsid w:val="00D337F8"/>
    <w:rsid w:val="00D33E6D"/>
    <w:rsid w:val="00D34908"/>
    <w:rsid w:val="00D34A21"/>
    <w:rsid w:val="00D35BAD"/>
    <w:rsid w:val="00D363BB"/>
    <w:rsid w:val="00D375CB"/>
    <w:rsid w:val="00D37F4F"/>
    <w:rsid w:val="00D4053A"/>
    <w:rsid w:val="00D40B01"/>
    <w:rsid w:val="00D434A0"/>
    <w:rsid w:val="00D43522"/>
    <w:rsid w:val="00D4435B"/>
    <w:rsid w:val="00D44AED"/>
    <w:rsid w:val="00D452A5"/>
    <w:rsid w:val="00D46197"/>
    <w:rsid w:val="00D46317"/>
    <w:rsid w:val="00D47511"/>
    <w:rsid w:val="00D477AE"/>
    <w:rsid w:val="00D506D4"/>
    <w:rsid w:val="00D50E2F"/>
    <w:rsid w:val="00D5139E"/>
    <w:rsid w:val="00D51F1F"/>
    <w:rsid w:val="00D53669"/>
    <w:rsid w:val="00D53ECF"/>
    <w:rsid w:val="00D54E58"/>
    <w:rsid w:val="00D56FF7"/>
    <w:rsid w:val="00D5748E"/>
    <w:rsid w:val="00D57A35"/>
    <w:rsid w:val="00D57ED1"/>
    <w:rsid w:val="00D60646"/>
    <w:rsid w:val="00D61B7F"/>
    <w:rsid w:val="00D622D8"/>
    <w:rsid w:val="00D63389"/>
    <w:rsid w:val="00D65302"/>
    <w:rsid w:val="00D654AC"/>
    <w:rsid w:val="00D669A3"/>
    <w:rsid w:val="00D66CF9"/>
    <w:rsid w:val="00D67D24"/>
    <w:rsid w:val="00D707F8"/>
    <w:rsid w:val="00D71AF0"/>
    <w:rsid w:val="00D72B73"/>
    <w:rsid w:val="00D73105"/>
    <w:rsid w:val="00D731FB"/>
    <w:rsid w:val="00D74248"/>
    <w:rsid w:val="00D7443E"/>
    <w:rsid w:val="00D74798"/>
    <w:rsid w:val="00D750B3"/>
    <w:rsid w:val="00D75779"/>
    <w:rsid w:val="00D75CC5"/>
    <w:rsid w:val="00D762D6"/>
    <w:rsid w:val="00D7649B"/>
    <w:rsid w:val="00D81DD9"/>
    <w:rsid w:val="00D83196"/>
    <w:rsid w:val="00D8331B"/>
    <w:rsid w:val="00D83C90"/>
    <w:rsid w:val="00D8433C"/>
    <w:rsid w:val="00D84535"/>
    <w:rsid w:val="00D84572"/>
    <w:rsid w:val="00D84A81"/>
    <w:rsid w:val="00D84F91"/>
    <w:rsid w:val="00D86DB2"/>
    <w:rsid w:val="00D86DF6"/>
    <w:rsid w:val="00D87765"/>
    <w:rsid w:val="00D905CB"/>
    <w:rsid w:val="00D90A0A"/>
    <w:rsid w:val="00D924CA"/>
    <w:rsid w:val="00D92A76"/>
    <w:rsid w:val="00D93C33"/>
    <w:rsid w:val="00D93DC2"/>
    <w:rsid w:val="00D96BCF"/>
    <w:rsid w:val="00D97A82"/>
    <w:rsid w:val="00DA030D"/>
    <w:rsid w:val="00DA1812"/>
    <w:rsid w:val="00DA1863"/>
    <w:rsid w:val="00DA2154"/>
    <w:rsid w:val="00DA2FAE"/>
    <w:rsid w:val="00DA5082"/>
    <w:rsid w:val="00DA5EAF"/>
    <w:rsid w:val="00DA6015"/>
    <w:rsid w:val="00DA7EBF"/>
    <w:rsid w:val="00DB00F4"/>
    <w:rsid w:val="00DB4DF1"/>
    <w:rsid w:val="00DC0670"/>
    <w:rsid w:val="00DC0B46"/>
    <w:rsid w:val="00DC0F0A"/>
    <w:rsid w:val="00DC166B"/>
    <w:rsid w:val="00DC1B15"/>
    <w:rsid w:val="00DC4ED9"/>
    <w:rsid w:val="00DC561E"/>
    <w:rsid w:val="00DC6761"/>
    <w:rsid w:val="00DC6CF3"/>
    <w:rsid w:val="00DD045F"/>
    <w:rsid w:val="00DD3070"/>
    <w:rsid w:val="00DD41A2"/>
    <w:rsid w:val="00DD7003"/>
    <w:rsid w:val="00DD70A7"/>
    <w:rsid w:val="00DE1427"/>
    <w:rsid w:val="00DE31A6"/>
    <w:rsid w:val="00DE50ED"/>
    <w:rsid w:val="00DE615B"/>
    <w:rsid w:val="00DE6C09"/>
    <w:rsid w:val="00DE7F12"/>
    <w:rsid w:val="00DF0DC5"/>
    <w:rsid w:val="00DF11B1"/>
    <w:rsid w:val="00DF34DC"/>
    <w:rsid w:val="00DF354E"/>
    <w:rsid w:val="00DF3E18"/>
    <w:rsid w:val="00DF6CDB"/>
    <w:rsid w:val="00DF6E86"/>
    <w:rsid w:val="00DF6EC0"/>
    <w:rsid w:val="00DF791B"/>
    <w:rsid w:val="00E0051E"/>
    <w:rsid w:val="00E01018"/>
    <w:rsid w:val="00E016D9"/>
    <w:rsid w:val="00E0171F"/>
    <w:rsid w:val="00E017C8"/>
    <w:rsid w:val="00E01C44"/>
    <w:rsid w:val="00E035F8"/>
    <w:rsid w:val="00E03D10"/>
    <w:rsid w:val="00E048DE"/>
    <w:rsid w:val="00E061BB"/>
    <w:rsid w:val="00E10003"/>
    <w:rsid w:val="00E1275A"/>
    <w:rsid w:val="00E13AC3"/>
    <w:rsid w:val="00E13B3B"/>
    <w:rsid w:val="00E141C9"/>
    <w:rsid w:val="00E15372"/>
    <w:rsid w:val="00E17473"/>
    <w:rsid w:val="00E17FA8"/>
    <w:rsid w:val="00E20888"/>
    <w:rsid w:val="00E21CB6"/>
    <w:rsid w:val="00E23E7D"/>
    <w:rsid w:val="00E25611"/>
    <w:rsid w:val="00E257ED"/>
    <w:rsid w:val="00E25948"/>
    <w:rsid w:val="00E26875"/>
    <w:rsid w:val="00E270FA"/>
    <w:rsid w:val="00E31F99"/>
    <w:rsid w:val="00E35909"/>
    <w:rsid w:val="00E361D0"/>
    <w:rsid w:val="00E376C3"/>
    <w:rsid w:val="00E376EB"/>
    <w:rsid w:val="00E37A3F"/>
    <w:rsid w:val="00E40281"/>
    <w:rsid w:val="00E4068C"/>
    <w:rsid w:val="00E41F3A"/>
    <w:rsid w:val="00E423CC"/>
    <w:rsid w:val="00E460A8"/>
    <w:rsid w:val="00E463C5"/>
    <w:rsid w:val="00E4656A"/>
    <w:rsid w:val="00E46749"/>
    <w:rsid w:val="00E51DCD"/>
    <w:rsid w:val="00E5212C"/>
    <w:rsid w:val="00E5477B"/>
    <w:rsid w:val="00E54A85"/>
    <w:rsid w:val="00E55437"/>
    <w:rsid w:val="00E568CB"/>
    <w:rsid w:val="00E57301"/>
    <w:rsid w:val="00E5736B"/>
    <w:rsid w:val="00E57414"/>
    <w:rsid w:val="00E605F9"/>
    <w:rsid w:val="00E606B9"/>
    <w:rsid w:val="00E6233D"/>
    <w:rsid w:val="00E651EA"/>
    <w:rsid w:val="00E65861"/>
    <w:rsid w:val="00E65A46"/>
    <w:rsid w:val="00E663A3"/>
    <w:rsid w:val="00E66A39"/>
    <w:rsid w:val="00E678B6"/>
    <w:rsid w:val="00E70605"/>
    <w:rsid w:val="00E7144A"/>
    <w:rsid w:val="00E71B4D"/>
    <w:rsid w:val="00E7273E"/>
    <w:rsid w:val="00E7492F"/>
    <w:rsid w:val="00E753E3"/>
    <w:rsid w:val="00E75BFF"/>
    <w:rsid w:val="00E762E9"/>
    <w:rsid w:val="00E76B90"/>
    <w:rsid w:val="00E77A3D"/>
    <w:rsid w:val="00E80AEB"/>
    <w:rsid w:val="00E81C96"/>
    <w:rsid w:val="00E823BA"/>
    <w:rsid w:val="00E83562"/>
    <w:rsid w:val="00E8409E"/>
    <w:rsid w:val="00E8438F"/>
    <w:rsid w:val="00E874FE"/>
    <w:rsid w:val="00E91198"/>
    <w:rsid w:val="00E924DF"/>
    <w:rsid w:val="00E92F72"/>
    <w:rsid w:val="00E93E9D"/>
    <w:rsid w:val="00E943DE"/>
    <w:rsid w:val="00E94DC2"/>
    <w:rsid w:val="00E952F8"/>
    <w:rsid w:val="00E96716"/>
    <w:rsid w:val="00E96AF6"/>
    <w:rsid w:val="00E978FB"/>
    <w:rsid w:val="00E97B89"/>
    <w:rsid w:val="00EA0568"/>
    <w:rsid w:val="00EA1854"/>
    <w:rsid w:val="00EA19F4"/>
    <w:rsid w:val="00EA434D"/>
    <w:rsid w:val="00EA439F"/>
    <w:rsid w:val="00EA4FD8"/>
    <w:rsid w:val="00EA639C"/>
    <w:rsid w:val="00EA63CE"/>
    <w:rsid w:val="00EA697C"/>
    <w:rsid w:val="00EA697E"/>
    <w:rsid w:val="00EA6F74"/>
    <w:rsid w:val="00EA6F85"/>
    <w:rsid w:val="00EA6FE9"/>
    <w:rsid w:val="00EA715D"/>
    <w:rsid w:val="00EA7243"/>
    <w:rsid w:val="00EB3D45"/>
    <w:rsid w:val="00EB47E7"/>
    <w:rsid w:val="00EB532C"/>
    <w:rsid w:val="00EC1295"/>
    <w:rsid w:val="00EC1434"/>
    <w:rsid w:val="00EC1863"/>
    <w:rsid w:val="00EC22D7"/>
    <w:rsid w:val="00EC2B27"/>
    <w:rsid w:val="00EC2C92"/>
    <w:rsid w:val="00EC32CF"/>
    <w:rsid w:val="00EC34D5"/>
    <w:rsid w:val="00EC42B4"/>
    <w:rsid w:val="00EC65D6"/>
    <w:rsid w:val="00EC6F78"/>
    <w:rsid w:val="00ED0AEF"/>
    <w:rsid w:val="00ED209B"/>
    <w:rsid w:val="00ED3C99"/>
    <w:rsid w:val="00ED5553"/>
    <w:rsid w:val="00ED618A"/>
    <w:rsid w:val="00ED6208"/>
    <w:rsid w:val="00ED6F8C"/>
    <w:rsid w:val="00EE0EA2"/>
    <w:rsid w:val="00EE1A5C"/>
    <w:rsid w:val="00EE1B2B"/>
    <w:rsid w:val="00EE2529"/>
    <w:rsid w:val="00EE2D89"/>
    <w:rsid w:val="00EE5801"/>
    <w:rsid w:val="00EE6D63"/>
    <w:rsid w:val="00EE7B39"/>
    <w:rsid w:val="00EE7CD5"/>
    <w:rsid w:val="00EF2090"/>
    <w:rsid w:val="00EF3B43"/>
    <w:rsid w:val="00EF42FA"/>
    <w:rsid w:val="00EF60D1"/>
    <w:rsid w:val="00EF7D10"/>
    <w:rsid w:val="00F02694"/>
    <w:rsid w:val="00F0338D"/>
    <w:rsid w:val="00F04788"/>
    <w:rsid w:val="00F049C2"/>
    <w:rsid w:val="00F05774"/>
    <w:rsid w:val="00F0581A"/>
    <w:rsid w:val="00F064D0"/>
    <w:rsid w:val="00F06D9A"/>
    <w:rsid w:val="00F07A22"/>
    <w:rsid w:val="00F102F1"/>
    <w:rsid w:val="00F11A3B"/>
    <w:rsid w:val="00F12A3F"/>
    <w:rsid w:val="00F1307B"/>
    <w:rsid w:val="00F1382F"/>
    <w:rsid w:val="00F13DAA"/>
    <w:rsid w:val="00F168D5"/>
    <w:rsid w:val="00F16FAF"/>
    <w:rsid w:val="00F17457"/>
    <w:rsid w:val="00F20AEB"/>
    <w:rsid w:val="00F218F0"/>
    <w:rsid w:val="00F222A8"/>
    <w:rsid w:val="00F22BD0"/>
    <w:rsid w:val="00F22E36"/>
    <w:rsid w:val="00F25C54"/>
    <w:rsid w:val="00F2647B"/>
    <w:rsid w:val="00F26F7D"/>
    <w:rsid w:val="00F275A4"/>
    <w:rsid w:val="00F27D69"/>
    <w:rsid w:val="00F30D38"/>
    <w:rsid w:val="00F30D4D"/>
    <w:rsid w:val="00F30F65"/>
    <w:rsid w:val="00F325AD"/>
    <w:rsid w:val="00F32A74"/>
    <w:rsid w:val="00F3616F"/>
    <w:rsid w:val="00F371F4"/>
    <w:rsid w:val="00F40EC5"/>
    <w:rsid w:val="00F421C0"/>
    <w:rsid w:val="00F42925"/>
    <w:rsid w:val="00F455E1"/>
    <w:rsid w:val="00F45E44"/>
    <w:rsid w:val="00F45F9D"/>
    <w:rsid w:val="00F45FB2"/>
    <w:rsid w:val="00F46729"/>
    <w:rsid w:val="00F472E1"/>
    <w:rsid w:val="00F508BD"/>
    <w:rsid w:val="00F509D9"/>
    <w:rsid w:val="00F54688"/>
    <w:rsid w:val="00F54AC3"/>
    <w:rsid w:val="00F54EEC"/>
    <w:rsid w:val="00F55D93"/>
    <w:rsid w:val="00F5779A"/>
    <w:rsid w:val="00F6008A"/>
    <w:rsid w:val="00F61BC1"/>
    <w:rsid w:val="00F61D58"/>
    <w:rsid w:val="00F67389"/>
    <w:rsid w:val="00F70C74"/>
    <w:rsid w:val="00F7176A"/>
    <w:rsid w:val="00F72308"/>
    <w:rsid w:val="00F72379"/>
    <w:rsid w:val="00F72ECC"/>
    <w:rsid w:val="00F7306B"/>
    <w:rsid w:val="00F77154"/>
    <w:rsid w:val="00F77BF1"/>
    <w:rsid w:val="00F80CC2"/>
    <w:rsid w:val="00F8325E"/>
    <w:rsid w:val="00F83C0E"/>
    <w:rsid w:val="00F843EE"/>
    <w:rsid w:val="00F871DB"/>
    <w:rsid w:val="00F908BC"/>
    <w:rsid w:val="00F90973"/>
    <w:rsid w:val="00F90BE4"/>
    <w:rsid w:val="00F90F25"/>
    <w:rsid w:val="00F92558"/>
    <w:rsid w:val="00F948F2"/>
    <w:rsid w:val="00F9587D"/>
    <w:rsid w:val="00F95BAF"/>
    <w:rsid w:val="00F96EDF"/>
    <w:rsid w:val="00F973C2"/>
    <w:rsid w:val="00F97B94"/>
    <w:rsid w:val="00FA0515"/>
    <w:rsid w:val="00FA0999"/>
    <w:rsid w:val="00FA19DB"/>
    <w:rsid w:val="00FA1B62"/>
    <w:rsid w:val="00FA3276"/>
    <w:rsid w:val="00FA3B6E"/>
    <w:rsid w:val="00FA5834"/>
    <w:rsid w:val="00FA666D"/>
    <w:rsid w:val="00FA6E6C"/>
    <w:rsid w:val="00FB06A3"/>
    <w:rsid w:val="00FB0F6C"/>
    <w:rsid w:val="00FB15E3"/>
    <w:rsid w:val="00FB2A05"/>
    <w:rsid w:val="00FB309F"/>
    <w:rsid w:val="00FB3C14"/>
    <w:rsid w:val="00FB442C"/>
    <w:rsid w:val="00FB4B6F"/>
    <w:rsid w:val="00FB52C1"/>
    <w:rsid w:val="00FB68AE"/>
    <w:rsid w:val="00FC03B2"/>
    <w:rsid w:val="00FC05C7"/>
    <w:rsid w:val="00FC0889"/>
    <w:rsid w:val="00FC34CF"/>
    <w:rsid w:val="00FC5CCE"/>
    <w:rsid w:val="00FC5E50"/>
    <w:rsid w:val="00FC63E7"/>
    <w:rsid w:val="00FC734C"/>
    <w:rsid w:val="00FC747F"/>
    <w:rsid w:val="00FC7C3D"/>
    <w:rsid w:val="00FD069E"/>
    <w:rsid w:val="00FD1A78"/>
    <w:rsid w:val="00FD23E3"/>
    <w:rsid w:val="00FD3818"/>
    <w:rsid w:val="00FD4AF8"/>
    <w:rsid w:val="00FD4B9C"/>
    <w:rsid w:val="00FD5B66"/>
    <w:rsid w:val="00FD64AB"/>
    <w:rsid w:val="00FD6EA6"/>
    <w:rsid w:val="00FD7C6A"/>
    <w:rsid w:val="00FD7D4C"/>
    <w:rsid w:val="00FD7D82"/>
    <w:rsid w:val="00FE02D5"/>
    <w:rsid w:val="00FE2021"/>
    <w:rsid w:val="00FE2DF7"/>
    <w:rsid w:val="00FE373A"/>
    <w:rsid w:val="00FE441E"/>
    <w:rsid w:val="00FE4C5B"/>
    <w:rsid w:val="00FE510A"/>
    <w:rsid w:val="00FE544D"/>
    <w:rsid w:val="00FE7F97"/>
    <w:rsid w:val="00FF03BC"/>
    <w:rsid w:val="00FF1900"/>
    <w:rsid w:val="00FF21FD"/>
    <w:rsid w:val="00FF24B4"/>
    <w:rsid w:val="00FF3C6B"/>
    <w:rsid w:val="00FF4853"/>
    <w:rsid w:val="00FF4FB3"/>
    <w:rsid w:val="00FF69F8"/>
    <w:rsid w:val="00FF6D05"/>
    <w:rsid w:val="00FF7101"/>
    <w:rsid w:val="00FF7C9F"/>
    <w:rsid w:val="00FF7F6F"/>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7">
      <v:stroke endarrow="block"/>
    </o:shapedefaults>
    <o:shapelayout v:ext="edit">
      <o:idmap v:ext="edit" data="1"/>
    </o:shapelayout>
  </w:shapeDefaults>
  <w:decimalSymbol w:val="."/>
  <w:listSeparator w:val=","/>
  <w14:docId w14:val="29E6EF0F"/>
  <w15:docId w15:val="{FBA4195A-9F71-4DD5-A556-CD146167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A7F"/>
  </w:style>
  <w:style w:type="paragraph" w:styleId="Heading1">
    <w:name w:val="heading 1"/>
    <w:basedOn w:val="Normal"/>
    <w:link w:val="Heading1Char"/>
    <w:uiPriority w:val="9"/>
    <w:qFormat/>
    <w:rsid w:val="009C3ED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link w:val="Heading3Char"/>
    <w:uiPriority w:val="9"/>
    <w:qFormat/>
    <w:rsid w:val="009C3ED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BAC"/>
    <w:pPr>
      <w:ind w:left="720"/>
      <w:contextualSpacing/>
    </w:pPr>
  </w:style>
  <w:style w:type="character" w:styleId="Hyperlink">
    <w:name w:val="Hyperlink"/>
    <w:basedOn w:val="DefaultParagraphFont"/>
    <w:uiPriority w:val="99"/>
    <w:unhideWhenUsed/>
    <w:rsid w:val="000E3E0D"/>
    <w:rPr>
      <w:color w:val="0000FF" w:themeColor="hyperlink"/>
      <w:u w:val="single"/>
    </w:rPr>
  </w:style>
  <w:style w:type="character" w:styleId="PlaceholderText">
    <w:name w:val="Placeholder Text"/>
    <w:basedOn w:val="DefaultParagraphFont"/>
    <w:uiPriority w:val="99"/>
    <w:semiHidden/>
    <w:rsid w:val="00720840"/>
    <w:rPr>
      <w:color w:val="808080"/>
    </w:rPr>
  </w:style>
  <w:style w:type="paragraph" w:styleId="BalloonText">
    <w:name w:val="Balloon Text"/>
    <w:basedOn w:val="Normal"/>
    <w:link w:val="BalloonTextChar"/>
    <w:uiPriority w:val="99"/>
    <w:semiHidden/>
    <w:unhideWhenUsed/>
    <w:rsid w:val="0072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40"/>
    <w:rPr>
      <w:rFonts w:ascii="Tahoma" w:hAnsi="Tahoma" w:cs="Tahoma"/>
      <w:sz w:val="16"/>
      <w:szCs w:val="16"/>
    </w:rPr>
  </w:style>
  <w:style w:type="table" w:styleId="TableGrid">
    <w:name w:val="Table Grid"/>
    <w:basedOn w:val="TableNormal"/>
    <w:uiPriority w:val="59"/>
    <w:rsid w:val="002E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694B"/>
    <w:rPr>
      <w:sz w:val="16"/>
      <w:szCs w:val="16"/>
    </w:rPr>
  </w:style>
  <w:style w:type="paragraph" w:styleId="CommentText">
    <w:name w:val="annotation text"/>
    <w:basedOn w:val="Normal"/>
    <w:link w:val="CommentTextChar"/>
    <w:uiPriority w:val="99"/>
    <w:semiHidden/>
    <w:unhideWhenUsed/>
    <w:rsid w:val="0092694B"/>
    <w:pPr>
      <w:spacing w:line="240" w:lineRule="auto"/>
    </w:pPr>
    <w:rPr>
      <w:sz w:val="20"/>
      <w:szCs w:val="20"/>
    </w:rPr>
  </w:style>
  <w:style w:type="character" w:customStyle="1" w:styleId="CommentTextChar">
    <w:name w:val="Comment Text Char"/>
    <w:basedOn w:val="DefaultParagraphFont"/>
    <w:link w:val="CommentText"/>
    <w:uiPriority w:val="99"/>
    <w:semiHidden/>
    <w:rsid w:val="0092694B"/>
    <w:rPr>
      <w:sz w:val="20"/>
      <w:szCs w:val="20"/>
    </w:rPr>
  </w:style>
  <w:style w:type="paragraph" w:styleId="CommentSubject">
    <w:name w:val="annotation subject"/>
    <w:basedOn w:val="CommentText"/>
    <w:next w:val="CommentText"/>
    <w:link w:val="CommentSubjectChar"/>
    <w:uiPriority w:val="99"/>
    <w:semiHidden/>
    <w:unhideWhenUsed/>
    <w:rsid w:val="0092694B"/>
    <w:rPr>
      <w:b/>
      <w:bCs/>
    </w:rPr>
  </w:style>
  <w:style w:type="character" w:customStyle="1" w:styleId="CommentSubjectChar">
    <w:name w:val="Comment Subject Char"/>
    <w:basedOn w:val="CommentTextChar"/>
    <w:link w:val="CommentSubject"/>
    <w:uiPriority w:val="99"/>
    <w:semiHidden/>
    <w:rsid w:val="0092694B"/>
    <w:rPr>
      <w:b/>
      <w:bCs/>
      <w:sz w:val="20"/>
      <w:szCs w:val="20"/>
    </w:rPr>
  </w:style>
  <w:style w:type="paragraph" w:styleId="Header">
    <w:name w:val="header"/>
    <w:basedOn w:val="Normal"/>
    <w:link w:val="HeaderChar"/>
    <w:uiPriority w:val="99"/>
    <w:semiHidden/>
    <w:unhideWhenUsed/>
    <w:rsid w:val="00E259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5948"/>
  </w:style>
  <w:style w:type="paragraph" w:styleId="Footer">
    <w:name w:val="footer"/>
    <w:basedOn w:val="Normal"/>
    <w:link w:val="FooterChar"/>
    <w:uiPriority w:val="99"/>
    <w:unhideWhenUsed/>
    <w:rsid w:val="00E25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948"/>
  </w:style>
  <w:style w:type="character" w:customStyle="1" w:styleId="Heading1Char">
    <w:name w:val="Heading 1 Char"/>
    <w:basedOn w:val="DefaultParagraphFont"/>
    <w:link w:val="Heading1"/>
    <w:uiPriority w:val="9"/>
    <w:rsid w:val="009C3ED9"/>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9C3ED9"/>
    <w:rPr>
      <w:rFonts w:ascii="Times New Roman" w:eastAsia="Times New Roman" w:hAnsi="Times New Roman" w:cs="Times New Roman"/>
      <w:b/>
      <w:bCs/>
      <w:sz w:val="27"/>
      <w:szCs w:val="27"/>
      <w:lang w:val="en-US"/>
    </w:rPr>
  </w:style>
  <w:style w:type="character" w:customStyle="1" w:styleId="highlight">
    <w:name w:val="highlight"/>
    <w:basedOn w:val="DefaultParagraphFont"/>
    <w:rsid w:val="009C3ED9"/>
  </w:style>
  <w:style w:type="paragraph" w:styleId="NormalWeb">
    <w:name w:val="Normal (Web)"/>
    <w:basedOn w:val="Normal"/>
    <w:uiPriority w:val="99"/>
    <w:semiHidden/>
    <w:unhideWhenUsed/>
    <w:rsid w:val="009C3E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ineNumber">
    <w:name w:val="line number"/>
    <w:basedOn w:val="DefaultParagraphFont"/>
    <w:uiPriority w:val="99"/>
    <w:semiHidden/>
    <w:unhideWhenUsed/>
    <w:rsid w:val="00891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883">
      <w:bodyDiv w:val="1"/>
      <w:marLeft w:val="0"/>
      <w:marRight w:val="0"/>
      <w:marTop w:val="0"/>
      <w:marBottom w:val="0"/>
      <w:divBdr>
        <w:top w:val="none" w:sz="0" w:space="0" w:color="auto"/>
        <w:left w:val="none" w:sz="0" w:space="0" w:color="auto"/>
        <w:bottom w:val="none" w:sz="0" w:space="0" w:color="auto"/>
        <w:right w:val="none" w:sz="0" w:space="0" w:color="auto"/>
      </w:divBdr>
      <w:divsChild>
        <w:div w:id="1218130173">
          <w:marLeft w:val="0"/>
          <w:marRight w:val="0"/>
          <w:marTop w:val="0"/>
          <w:marBottom w:val="0"/>
          <w:divBdr>
            <w:top w:val="none" w:sz="0" w:space="0" w:color="auto"/>
            <w:left w:val="none" w:sz="0" w:space="0" w:color="auto"/>
            <w:bottom w:val="none" w:sz="0" w:space="0" w:color="auto"/>
            <w:right w:val="none" w:sz="0" w:space="0" w:color="auto"/>
          </w:divBdr>
        </w:div>
        <w:div w:id="1981958455">
          <w:marLeft w:val="0"/>
          <w:marRight w:val="0"/>
          <w:marTop w:val="0"/>
          <w:marBottom w:val="0"/>
          <w:divBdr>
            <w:top w:val="none" w:sz="0" w:space="0" w:color="auto"/>
            <w:left w:val="none" w:sz="0" w:space="0" w:color="auto"/>
            <w:bottom w:val="none" w:sz="0" w:space="0" w:color="auto"/>
            <w:right w:val="none" w:sz="0" w:space="0" w:color="auto"/>
          </w:divBdr>
        </w:div>
        <w:div w:id="1450930248">
          <w:marLeft w:val="0"/>
          <w:marRight w:val="0"/>
          <w:marTop w:val="0"/>
          <w:marBottom w:val="0"/>
          <w:divBdr>
            <w:top w:val="none" w:sz="0" w:space="0" w:color="auto"/>
            <w:left w:val="none" w:sz="0" w:space="0" w:color="auto"/>
            <w:bottom w:val="none" w:sz="0" w:space="0" w:color="auto"/>
            <w:right w:val="none" w:sz="0" w:space="0" w:color="auto"/>
          </w:divBdr>
        </w:div>
        <w:div w:id="444278933">
          <w:marLeft w:val="0"/>
          <w:marRight w:val="0"/>
          <w:marTop w:val="0"/>
          <w:marBottom w:val="0"/>
          <w:divBdr>
            <w:top w:val="none" w:sz="0" w:space="0" w:color="auto"/>
            <w:left w:val="none" w:sz="0" w:space="0" w:color="auto"/>
            <w:bottom w:val="none" w:sz="0" w:space="0" w:color="auto"/>
            <w:right w:val="none" w:sz="0" w:space="0" w:color="auto"/>
          </w:divBdr>
        </w:div>
      </w:divsChild>
    </w:div>
    <w:div w:id="122967621">
      <w:bodyDiv w:val="1"/>
      <w:marLeft w:val="0"/>
      <w:marRight w:val="0"/>
      <w:marTop w:val="0"/>
      <w:marBottom w:val="0"/>
      <w:divBdr>
        <w:top w:val="none" w:sz="0" w:space="0" w:color="auto"/>
        <w:left w:val="none" w:sz="0" w:space="0" w:color="auto"/>
        <w:bottom w:val="none" w:sz="0" w:space="0" w:color="auto"/>
        <w:right w:val="none" w:sz="0" w:space="0" w:color="auto"/>
      </w:divBdr>
    </w:div>
    <w:div w:id="194852700">
      <w:bodyDiv w:val="1"/>
      <w:marLeft w:val="0"/>
      <w:marRight w:val="0"/>
      <w:marTop w:val="0"/>
      <w:marBottom w:val="0"/>
      <w:divBdr>
        <w:top w:val="none" w:sz="0" w:space="0" w:color="auto"/>
        <w:left w:val="none" w:sz="0" w:space="0" w:color="auto"/>
        <w:bottom w:val="none" w:sz="0" w:space="0" w:color="auto"/>
        <w:right w:val="none" w:sz="0" w:space="0" w:color="auto"/>
      </w:divBdr>
      <w:divsChild>
        <w:div w:id="1895240334">
          <w:marLeft w:val="0"/>
          <w:marRight w:val="0"/>
          <w:marTop w:val="0"/>
          <w:marBottom w:val="0"/>
          <w:divBdr>
            <w:top w:val="none" w:sz="0" w:space="0" w:color="auto"/>
            <w:left w:val="none" w:sz="0" w:space="0" w:color="auto"/>
            <w:bottom w:val="none" w:sz="0" w:space="0" w:color="auto"/>
            <w:right w:val="none" w:sz="0" w:space="0" w:color="auto"/>
          </w:divBdr>
        </w:div>
        <w:div w:id="1577206433">
          <w:marLeft w:val="0"/>
          <w:marRight w:val="0"/>
          <w:marTop w:val="0"/>
          <w:marBottom w:val="0"/>
          <w:divBdr>
            <w:top w:val="none" w:sz="0" w:space="0" w:color="auto"/>
            <w:left w:val="none" w:sz="0" w:space="0" w:color="auto"/>
            <w:bottom w:val="none" w:sz="0" w:space="0" w:color="auto"/>
            <w:right w:val="none" w:sz="0" w:space="0" w:color="auto"/>
          </w:divBdr>
        </w:div>
        <w:div w:id="954487410">
          <w:marLeft w:val="0"/>
          <w:marRight w:val="0"/>
          <w:marTop w:val="0"/>
          <w:marBottom w:val="0"/>
          <w:divBdr>
            <w:top w:val="none" w:sz="0" w:space="0" w:color="auto"/>
            <w:left w:val="none" w:sz="0" w:space="0" w:color="auto"/>
            <w:bottom w:val="none" w:sz="0" w:space="0" w:color="auto"/>
            <w:right w:val="none" w:sz="0" w:space="0" w:color="auto"/>
          </w:divBdr>
        </w:div>
        <w:div w:id="2115006803">
          <w:marLeft w:val="0"/>
          <w:marRight w:val="0"/>
          <w:marTop w:val="0"/>
          <w:marBottom w:val="0"/>
          <w:divBdr>
            <w:top w:val="none" w:sz="0" w:space="0" w:color="auto"/>
            <w:left w:val="none" w:sz="0" w:space="0" w:color="auto"/>
            <w:bottom w:val="none" w:sz="0" w:space="0" w:color="auto"/>
            <w:right w:val="none" w:sz="0" w:space="0" w:color="auto"/>
          </w:divBdr>
        </w:div>
        <w:div w:id="766928963">
          <w:marLeft w:val="0"/>
          <w:marRight w:val="0"/>
          <w:marTop w:val="0"/>
          <w:marBottom w:val="0"/>
          <w:divBdr>
            <w:top w:val="none" w:sz="0" w:space="0" w:color="auto"/>
            <w:left w:val="none" w:sz="0" w:space="0" w:color="auto"/>
            <w:bottom w:val="none" w:sz="0" w:space="0" w:color="auto"/>
            <w:right w:val="none" w:sz="0" w:space="0" w:color="auto"/>
          </w:divBdr>
        </w:div>
        <w:div w:id="1969848021">
          <w:marLeft w:val="0"/>
          <w:marRight w:val="0"/>
          <w:marTop w:val="0"/>
          <w:marBottom w:val="0"/>
          <w:divBdr>
            <w:top w:val="none" w:sz="0" w:space="0" w:color="auto"/>
            <w:left w:val="none" w:sz="0" w:space="0" w:color="auto"/>
            <w:bottom w:val="none" w:sz="0" w:space="0" w:color="auto"/>
            <w:right w:val="none" w:sz="0" w:space="0" w:color="auto"/>
          </w:divBdr>
        </w:div>
        <w:div w:id="1624071872">
          <w:marLeft w:val="0"/>
          <w:marRight w:val="0"/>
          <w:marTop w:val="0"/>
          <w:marBottom w:val="0"/>
          <w:divBdr>
            <w:top w:val="none" w:sz="0" w:space="0" w:color="auto"/>
            <w:left w:val="none" w:sz="0" w:space="0" w:color="auto"/>
            <w:bottom w:val="none" w:sz="0" w:space="0" w:color="auto"/>
            <w:right w:val="none" w:sz="0" w:space="0" w:color="auto"/>
          </w:divBdr>
        </w:div>
        <w:div w:id="341125859">
          <w:marLeft w:val="0"/>
          <w:marRight w:val="0"/>
          <w:marTop w:val="0"/>
          <w:marBottom w:val="0"/>
          <w:divBdr>
            <w:top w:val="none" w:sz="0" w:space="0" w:color="auto"/>
            <w:left w:val="none" w:sz="0" w:space="0" w:color="auto"/>
            <w:bottom w:val="none" w:sz="0" w:space="0" w:color="auto"/>
            <w:right w:val="none" w:sz="0" w:space="0" w:color="auto"/>
          </w:divBdr>
        </w:div>
        <w:div w:id="1614895267">
          <w:marLeft w:val="0"/>
          <w:marRight w:val="0"/>
          <w:marTop w:val="0"/>
          <w:marBottom w:val="0"/>
          <w:divBdr>
            <w:top w:val="none" w:sz="0" w:space="0" w:color="auto"/>
            <w:left w:val="none" w:sz="0" w:space="0" w:color="auto"/>
            <w:bottom w:val="none" w:sz="0" w:space="0" w:color="auto"/>
            <w:right w:val="none" w:sz="0" w:space="0" w:color="auto"/>
          </w:divBdr>
        </w:div>
      </w:divsChild>
    </w:div>
    <w:div w:id="275606309">
      <w:bodyDiv w:val="1"/>
      <w:marLeft w:val="0"/>
      <w:marRight w:val="0"/>
      <w:marTop w:val="0"/>
      <w:marBottom w:val="0"/>
      <w:divBdr>
        <w:top w:val="none" w:sz="0" w:space="0" w:color="auto"/>
        <w:left w:val="none" w:sz="0" w:space="0" w:color="auto"/>
        <w:bottom w:val="none" w:sz="0" w:space="0" w:color="auto"/>
        <w:right w:val="none" w:sz="0" w:space="0" w:color="auto"/>
      </w:divBdr>
    </w:div>
    <w:div w:id="327172792">
      <w:bodyDiv w:val="1"/>
      <w:marLeft w:val="0"/>
      <w:marRight w:val="0"/>
      <w:marTop w:val="0"/>
      <w:marBottom w:val="0"/>
      <w:divBdr>
        <w:top w:val="none" w:sz="0" w:space="0" w:color="auto"/>
        <w:left w:val="none" w:sz="0" w:space="0" w:color="auto"/>
        <w:bottom w:val="none" w:sz="0" w:space="0" w:color="auto"/>
        <w:right w:val="none" w:sz="0" w:space="0" w:color="auto"/>
      </w:divBdr>
    </w:div>
    <w:div w:id="558974735">
      <w:bodyDiv w:val="1"/>
      <w:marLeft w:val="0"/>
      <w:marRight w:val="0"/>
      <w:marTop w:val="0"/>
      <w:marBottom w:val="0"/>
      <w:divBdr>
        <w:top w:val="none" w:sz="0" w:space="0" w:color="auto"/>
        <w:left w:val="none" w:sz="0" w:space="0" w:color="auto"/>
        <w:bottom w:val="none" w:sz="0" w:space="0" w:color="auto"/>
        <w:right w:val="none" w:sz="0" w:space="0" w:color="auto"/>
      </w:divBdr>
    </w:div>
    <w:div w:id="1226185868">
      <w:bodyDiv w:val="1"/>
      <w:marLeft w:val="0"/>
      <w:marRight w:val="0"/>
      <w:marTop w:val="0"/>
      <w:marBottom w:val="0"/>
      <w:divBdr>
        <w:top w:val="none" w:sz="0" w:space="0" w:color="auto"/>
        <w:left w:val="none" w:sz="0" w:space="0" w:color="auto"/>
        <w:bottom w:val="none" w:sz="0" w:space="0" w:color="auto"/>
        <w:right w:val="none" w:sz="0" w:space="0" w:color="auto"/>
      </w:divBdr>
    </w:div>
    <w:div w:id="1314212887">
      <w:bodyDiv w:val="1"/>
      <w:marLeft w:val="0"/>
      <w:marRight w:val="0"/>
      <w:marTop w:val="0"/>
      <w:marBottom w:val="0"/>
      <w:divBdr>
        <w:top w:val="none" w:sz="0" w:space="0" w:color="auto"/>
        <w:left w:val="none" w:sz="0" w:space="0" w:color="auto"/>
        <w:bottom w:val="none" w:sz="0" w:space="0" w:color="auto"/>
        <w:right w:val="none" w:sz="0" w:space="0" w:color="auto"/>
      </w:divBdr>
    </w:div>
    <w:div w:id="1510754992">
      <w:bodyDiv w:val="1"/>
      <w:marLeft w:val="0"/>
      <w:marRight w:val="0"/>
      <w:marTop w:val="0"/>
      <w:marBottom w:val="0"/>
      <w:divBdr>
        <w:top w:val="none" w:sz="0" w:space="0" w:color="auto"/>
        <w:left w:val="none" w:sz="0" w:space="0" w:color="auto"/>
        <w:bottom w:val="none" w:sz="0" w:space="0" w:color="auto"/>
        <w:right w:val="none" w:sz="0" w:space="0" w:color="auto"/>
      </w:divBdr>
    </w:div>
    <w:div w:id="1770394901">
      <w:bodyDiv w:val="1"/>
      <w:marLeft w:val="0"/>
      <w:marRight w:val="0"/>
      <w:marTop w:val="0"/>
      <w:marBottom w:val="0"/>
      <w:divBdr>
        <w:top w:val="none" w:sz="0" w:space="0" w:color="auto"/>
        <w:left w:val="none" w:sz="0" w:space="0" w:color="auto"/>
        <w:bottom w:val="none" w:sz="0" w:space="0" w:color="auto"/>
        <w:right w:val="none" w:sz="0" w:space="0" w:color="auto"/>
      </w:divBdr>
    </w:div>
    <w:div w:id="2065172550">
      <w:bodyDiv w:val="1"/>
      <w:marLeft w:val="0"/>
      <w:marRight w:val="0"/>
      <w:marTop w:val="0"/>
      <w:marBottom w:val="0"/>
      <w:divBdr>
        <w:top w:val="none" w:sz="0" w:space="0" w:color="auto"/>
        <w:left w:val="none" w:sz="0" w:space="0" w:color="auto"/>
        <w:bottom w:val="none" w:sz="0" w:space="0" w:color="auto"/>
        <w:right w:val="none" w:sz="0" w:space="0" w:color="auto"/>
      </w:divBdr>
      <w:divsChild>
        <w:div w:id="853496869">
          <w:marLeft w:val="0"/>
          <w:marRight w:val="0"/>
          <w:marTop w:val="0"/>
          <w:marBottom w:val="0"/>
          <w:divBdr>
            <w:top w:val="none" w:sz="0" w:space="0" w:color="auto"/>
            <w:left w:val="none" w:sz="0" w:space="0" w:color="auto"/>
            <w:bottom w:val="none" w:sz="0" w:space="0" w:color="auto"/>
            <w:right w:val="none" w:sz="0" w:space="0" w:color="auto"/>
          </w:divBdr>
        </w:div>
        <w:div w:id="1112506315">
          <w:marLeft w:val="0"/>
          <w:marRight w:val="0"/>
          <w:marTop w:val="0"/>
          <w:marBottom w:val="0"/>
          <w:divBdr>
            <w:top w:val="none" w:sz="0" w:space="0" w:color="auto"/>
            <w:left w:val="none" w:sz="0" w:space="0" w:color="auto"/>
            <w:bottom w:val="none" w:sz="0" w:space="0" w:color="auto"/>
            <w:right w:val="none" w:sz="0" w:space="0" w:color="auto"/>
          </w:divBdr>
        </w:div>
        <w:div w:id="1307852233">
          <w:marLeft w:val="0"/>
          <w:marRight w:val="0"/>
          <w:marTop w:val="0"/>
          <w:marBottom w:val="0"/>
          <w:divBdr>
            <w:top w:val="none" w:sz="0" w:space="0" w:color="auto"/>
            <w:left w:val="none" w:sz="0" w:space="0" w:color="auto"/>
            <w:bottom w:val="none" w:sz="0" w:space="0" w:color="auto"/>
            <w:right w:val="none" w:sz="0" w:space="0" w:color="auto"/>
          </w:divBdr>
        </w:div>
        <w:div w:id="1691834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milner@lshtm.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milner@lshtm.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wilkinson@lshtm.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tiris.vardoulakis@phe.gov.uk" TargetMode="External"/><Relationship Id="rId4" Type="http://schemas.openxmlformats.org/officeDocument/2006/relationships/settings" Target="settings.xml"/><Relationship Id="rId9" Type="http://schemas.openxmlformats.org/officeDocument/2006/relationships/hyperlink" Target="mailto:zaid.chalabi@lshtm.ac.uk"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68BDF-A136-4C1C-9745-ADFA5167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24</Pages>
  <Words>5710</Words>
  <Characters>32547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38181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ppehjmil</dc:creator>
  <cp:lastModifiedBy>ITS</cp:lastModifiedBy>
  <cp:revision>176</cp:revision>
  <cp:lastPrinted>2012-12-10T16:49:00Z</cp:lastPrinted>
  <dcterms:created xsi:type="dcterms:W3CDTF">2014-10-24T13:21:00Z</dcterms:created>
  <dcterms:modified xsi:type="dcterms:W3CDTF">2015-05-15T15:10:00Z</dcterms:modified>
</cp:coreProperties>
</file>