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13774" w14:textId="77777777" w:rsidR="008D2442" w:rsidRPr="0052304F" w:rsidRDefault="008D2442" w:rsidP="0052304F">
      <w:pPr>
        <w:spacing w:line="480" w:lineRule="auto"/>
        <w:jc w:val="center"/>
        <w:rPr>
          <w:b/>
          <w:sz w:val="32"/>
          <w:szCs w:val="32"/>
        </w:rPr>
      </w:pPr>
      <w:bookmarkStart w:id="0" w:name="_GoBack"/>
      <w:bookmarkEnd w:id="0"/>
      <w:r w:rsidRPr="0052304F">
        <w:rPr>
          <w:b/>
          <w:sz w:val="32"/>
          <w:szCs w:val="32"/>
        </w:rPr>
        <w:t>What should the vent</w:t>
      </w:r>
      <w:r w:rsidR="00CC599C" w:rsidRPr="0052304F">
        <w:rPr>
          <w:b/>
          <w:sz w:val="32"/>
          <w:szCs w:val="32"/>
        </w:rPr>
        <w:t xml:space="preserve">ilation </w:t>
      </w:r>
      <w:r w:rsidR="00BE057A" w:rsidRPr="0052304F">
        <w:rPr>
          <w:b/>
          <w:sz w:val="32"/>
          <w:szCs w:val="32"/>
        </w:rPr>
        <w:t>objectives</w:t>
      </w:r>
      <w:r w:rsidR="00CC599C" w:rsidRPr="0052304F">
        <w:rPr>
          <w:b/>
          <w:sz w:val="32"/>
          <w:szCs w:val="32"/>
        </w:rPr>
        <w:t xml:space="preserve"> be </w:t>
      </w:r>
      <w:r w:rsidR="00BE057A" w:rsidRPr="0052304F">
        <w:rPr>
          <w:b/>
          <w:sz w:val="32"/>
          <w:szCs w:val="32"/>
        </w:rPr>
        <w:t>for retro</w:t>
      </w:r>
      <w:r w:rsidRPr="0052304F">
        <w:rPr>
          <w:b/>
          <w:sz w:val="32"/>
          <w:szCs w:val="32"/>
        </w:rPr>
        <w:t>fit energy efficiency interventions of dwellings?</w:t>
      </w:r>
    </w:p>
    <w:p w14:paraId="37F9249F" w14:textId="77777777" w:rsidR="008D2442" w:rsidRDefault="008D2442" w:rsidP="0052304F">
      <w:pPr>
        <w:spacing w:line="480" w:lineRule="auto"/>
      </w:pPr>
    </w:p>
    <w:p w14:paraId="27D9FCFE" w14:textId="1357505D" w:rsidR="00175E80" w:rsidRPr="00B54BF2" w:rsidRDefault="00175E80" w:rsidP="0052304F">
      <w:pPr>
        <w:spacing w:line="480" w:lineRule="auto"/>
      </w:pPr>
      <w:r>
        <w:t>James Milner, PhD,</w:t>
      </w:r>
      <w:r w:rsidRPr="00175E80">
        <w:rPr>
          <w:vertAlign w:val="superscript"/>
        </w:rPr>
        <w:t>1</w:t>
      </w:r>
      <w:r>
        <w:t xml:space="preserve"> Ian Hamilton, PhD,</w:t>
      </w:r>
      <w:r w:rsidRPr="00175E80">
        <w:rPr>
          <w:vertAlign w:val="superscript"/>
        </w:rPr>
        <w:t>2</w:t>
      </w:r>
      <w:r>
        <w:t xml:space="preserve"> Clive Shrubsole, MSc,</w:t>
      </w:r>
      <w:r w:rsidRPr="00175E80">
        <w:rPr>
          <w:vertAlign w:val="superscript"/>
        </w:rPr>
        <w:t>3</w:t>
      </w:r>
      <w:r>
        <w:t xml:space="preserve"> Payel Das, PhD,</w:t>
      </w:r>
      <w:r w:rsidRPr="00175E80">
        <w:rPr>
          <w:vertAlign w:val="superscript"/>
        </w:rPr>
        <w:t>3</w:t>
      </w:r>
      <w:r>
        <w:t xml:space="preserve"> Zaid Chalabi, PhD,</w:t>
      </w:r>
      <w:r w:rsidRPr="00175E80">
        <w:rPr>
          <w:vertAlign w:val="superscript"/>
        </w:rPr>
        <w:t>1</w:t>
      </w:r>
      <w:r>
        <w:t xml:space="preserve"> Michael Davies, PhD,</w:t>
      </w:r>
      <w:r w:rsidR="005A35E6">
        <w:rPr>
          <w:vertAlign w:val="superscript"/>
        </w:rPr>
        <w:t>3</w:t>
      </w:r>
      <w:r>
        <w:t xml:space="preserve"> Paul Wilkinson, FRCP</w:t>
      </w:r>
      <w:r w:rsidRPr="00175E80">
        <w:rPr>
          <w:vertAlign w:val="superscript"/>
        </w:rPr>
        <w:t>1</w:t>
      </w:r>
      <w:r>
        <w:t>*</w:t>
      </w:r>
    </w:p>
    <w:p w14:paraId="7B9247F0" w14:textId="77777777" w:rsidR="007133E8" w:rsidRDefault="007133E8" w:rsidP="0052304F">
      <w:pPr>
        <w:spacing w:line="480" w:lineRule="auto"/>
      </w:pPr>
    </w:p>
    <w:p w14:paraId="11977593" w14:textId="4D04EFDB" w:rsidR="00175E80" w:rsidRDefault="00175E80" w:rsidP="008254EB">
      <w:pPr>
        <w:spacing w:after="360" w:line="480" w:lineRule="auto"/>
      </w:pPr>
      <w:r w:rsidRPr="005A35E6">
        <w:rPr>
          <w:vertAlign w:val="superscript"/>
        </w:rPr>
        <w:t>1</w:t>
      </w:r>
      <w:r w:rsidR="005A35E6">
        <w:t xml:space="preserve"> </w:t>
      </w:r>
      <w:r>
        <w:t>Department of Social &amp; Environmental Health Research</w:t>
      </w:r>
      <w:r w:rsidRPr="00B54BF2">
        <w:t>, London School of Hygiene &amp; Tropical Medicine, 15-17 Tavistock Place, London WC1H 9SH</w:t>
      </w:r>
      <w:r>
        <w:t>, UK</w:t>
      </w:r>
      <w:r w:rsidR="00BB1A93">
        <w:br/>
      </w:r>
      <w:r w:rsidRPr="005A35E6">
        <w:rPr>
          <w:vertAlign w:val="superscript"/>
        </w:rPr>
        <w:t>2</w:t>
      </w:r>
      <w:r w:rsidR="005A35E6">
        <w:t xml:space="preserve"> </w:t>
      </w:r>
      <w:r w:rsidR="004A6C2D" w:rsidRPr="003B1EA6">
        <w:t>UCL Energy Institute, University College London, Central House, 14 Upper Woburn Place, London WC1H 0NN, UK</w:t>
      </w:r>
      <w:r w:rsidR="00BB1A93">
        <w:br/>
      </w:r>
      <w:r w:rsidRPr="005A35E6">
        <w:rPr>
          <w:vertAlign w:val="superscript"/>
        </w:rPr>
        <w:t>3</w:t>
      </w:r>
      <w:r w:rsidR="005A35E6">
        <w:t xml:space="preserve"> </w:t>
      </w:r>
      <w:r w:rsidR="004A6C2D">
        <w:t>UCL Institute for Environmental Design and Engineering</w:t>
      </w:r>
      <w:r w:rsidR="004A6C2D" w:rsidRPr="003B1EA6">
        <w:t>, University College London, Central House, 14 Upper Woburn Place, London WC1H 0NN, UK</w:t>
      </w:r>
    </w:p>
    <w:p w14:paraId="0EA9FCCB" w14:textId="0BE6096F" w:rsidR="00D64E41" w:rsidRDefault="00175E80" w:rsidP="0052304F">
      <w:pPr>
        <w:spacing w:line="480" w:lineRule="auto"/>
      </w:pPr>
      <w:r w:rsidRPr="00BB1A93">
        <w:t>*Responsible author</w:t>
      </w:r>
      <w:r w:rsidR="00BB1A93">
        <w:br/>
        <w:t>Address</w:t>
      </w:r>
      <w:r w:rsidR="001D26F1" w:rsidRPr="00175E80">
        <w:t>:</w:t>
      </w:r>
      <w:r w:rsidR="008B5384">
        <w:t xml:space="preserve"> </w:t>
      </w:r>
      <w:r w:rsidR="00FF69ED">
        <w:t xml:space="preserve">Professor Paul Wilkinson, </w:t>
      </w:r>
      <w:r>
        <w:t>Department of Social &amp; Environmental Health Research</w:t>
      </w:r>
      <w:r w:rsidRPr="00B54BF2">
        <w:t>, London School of Hygiene &amp; Tropical Medicine, 15-17 Tavistock Place, London WC1H 9SH</w:t>
      </w:r>
      <w:r>
        <w:t>, UK</w:t>
      </w:r>
      <w:r w:rsidR="007402D9">
        <w:t xml:space="preserve">. </w:t>
      </w:r>
      <w:r>
        <w:t xml:space="preserve">Tel: </w:t>
      </w:r>
      <w:r w:rsidR="00D64E41">
        <w:t>+44 (</w:t>
      </w:r>
      <w:r>
        <w:t>0</w:t>
      </w:r>
      <w:r w:rsidR="00D64E41">
        <w:t>)</w:t>
      </w:r>
      <w:r w:rsidR="007402D9">
        <w:t xml:space="preserve">20 7927 2444. </w:t>
      </w:r>
      <w:r w:rsidR="001D26F1" w:rsidRPr="00B54BF2">
        <w:t xml:space="preserve">Email: </w:t>
      </w:r>
      <w:hyperlink r:id="rId8" w:history="1">
        <w:r w:rsidR="001D26F1" w:rsidRPr="00B54BF2">
          <w:rPr>
            <w:rStyle w:val="Hyperlink"/>
            <w:rFonts w:cstheme="minorHAnsi"/>
          </w:rPr>
          <w:t>paul.wilkinson@lshtm.ac.uk</w:t>
        </w:r>
      </w:hyperlink>
    </w:p>
    <w:p w14:paraId="5322D225" w14:textId="2A53BA49" w:rsidR="001D26F1" w:rsidRDefault="00CB4DED" w:rsidP="0052304F">
      <w:pPr>
        <w:spacing w:line="480" w:lineRule="auto"/>
      </w:pPr>
      <w:r>
        <w:t xml:space="preserve">Short title: </w:t>
      </w:r>
      <w:r w:rsidR="00766FEB">
        <w:t>Ventilation objectives</w:t>
      </w:r>
      <w:r w:rsidR="00BB1A93">
        <w:t xml:space="preserve"> for home energy efficiency</w:t>
      </w:r>
    </w:p>
    <w:p w14:paraId="358A4F5D" w14:textId="6F229733" w:rsidR="001D26F1" w:rsidRPr="00B54BF2" w:rsidRDefault="00913867" w:rsidP="0052304F">
      <w:pPr>
        <w:spacing w:line="480" w:lineRule="auto"/>
      </w:pPr>
      <w:r>
        <w:t>Word</w:t>
      </w:r>
      <w:r w:rsidR="00D64E41" w:rsidRPr="00573A67">
        <w:t xml:space="preserve"> count: </w:t>
      </w:r>
      <w:r w:rsidR="00657E73">
        <w:t>2,661</w:t>
      </w:r>
      <w:r w:rsidR="001D26F1" w:rsidRPr="00B54BF2">
        <w:br/>
      </w:r>
      <w:r w:rsidR="001D26F1" w:rsidRPr="00B54BF2">
        <w:br w:type="page"/>
      </w:r>
    </w:p>
    <w:p w14:paraId="161373DC" w14:textId="75581DCF" w:rsidR="00B9290F" w:rsidRPr="003713F0" w:rsidRDefault="003713F0" w:rsidP="0052304F">
      <w:pPr>
        <w:spacing w:line="480" w:lineRule="auto"/>
        <w:rPr>
          <w:sz w:val="24"/>
          <w:szCs w:val="24"/>
        </w:rPr>
      </w:pPr>
      <w:r w:rsidRPr="0094384E">
        <w:rPr>
          <w:b/>
          <w:sz w:val="24"/>
          <w:szCs w:val="24"/>
        </w:rPr>
        <w:lastRenderedPageBreak/>
        <w:t>Abstract</w:t>
      </w:r>
    </w:p>
    <w:p w14:paraId="035086EF" w14:textId="0E9BCA59" w:rsidR="0013321B" w:rsidRDefault="0013321B" w:rsidP="0052304F">
      <w:pPr>
        <w:spacing w:line="480" w:lineRule="auto"/>
      </w:pPr>
      <w:r w:rsidRPr="00B54BF2">
        <w:t>Major energy efficiency refurbishment of the UK housing stock is needed to help attain emission reduction targets of greenhouse gases</w:t>
      </w:r>
      <w:r w:rsidR="006E3B5D">
        <w:t xml:space="preserve">. </w:t>
      </w:r>
      <w:r w:rsidR="00015B41">
        <w:t>S</w:t>
      </w:r>
      <w:r w:rsidRPr="00B54BF2">
        <w:t>uch measures typically entail some planned or incidental reduction of uncontrolled ventilation</w:t>
      </w:r>
      <w:r w:rsidR="003A4B55">
        <w:t xml:space="preserve"> in dwellings</w:t>
      </w:r>
      <w:r w:rsidRPr="00B54BF2">
        <w:t xml:space="preserve">. </w:t>
      </w:r>
      <w:r w:rsidR="003A4B55">
        <w:t>This paper</w:t>
      </w:r>
      <w:r w:rsidR="003A4B55" w:rsidRPr="00B54BF2">
        <w:t xml:space="preserve"> examine</w:t>
      </w:r>
      <w:r w:rsidR="003A4B55">
        <w:t>s</w:t>
      </w:r>
      <w:r w:rsidR="003A4B55" w:rsidRPr="00B54BF2">
        <w:t xml:space="preserve"> the trade-offs for health and sustainability objectives of typical retrofit refurbishments </w:t>
      </w:r>
      <w:r w:rsidR="00AB0F07">
        <w:t>in</w:t>
      </w:r>
      <w:r w:rsidR="003A4B55" w:rsidRPr="00B54BF2">
        <w:t xml:space="preserve"> UK </w:t>
      </w:r>
      <w:r w:rsidR="003A4B55">
        <w:t>homes</w:t>
      </w:r>
      <w:r w:rsidR="003A4B55" w:rsidRPr="00B54BF2">
        <w:t>.</w:t>
      </w:r>
      <w:r w:rsidR="003A4B55">
        <w:t xml:space="preserve"> </w:t>
      </w:r>
      <w:r w:rsidRPr="00B54BF2">
        <w:t xml:space="preserve">While reducing ventilation can help protect against the ingress of harmful pollutants from the outdoor air, </w:t>
      </w:r>
      <w:r w:rsidR="003A4B55">
        <w:t xml:space="preserve">our results demonstrate that reducing </w:t>
      </w:r>
      <w:r w:rsidR="00B1392B">
        <w:t xml:space="preserve">permeability to low levels, without additional purpose-provided ventilation, </w:t>
      </w:r>
      <w:r w:rsidR="003A4B55">
        <w:t>is likely to lead to substantial increases in pollutants derived from indoor sources, including indoor-generated particles, radon, and environmental tobacco smoke</w:t>
      </w:r>
      <w:r w:rsidR="00AB0F07">
        <w:t xml:space="preserve">. </w:t>
      </w:r>
      <w:r w:rsidR="003A4B55">
        <w:t xml:space="preserve">The </w:t>
      </w:r>
      <w:r w:rsidR="005E0F2D">
        <w:t>monetized equivalent cost</w:t>
      </w:r>
      <w:r w:rsidR="003A4B55">
        <w:t xml:space="preserve"> of the health dis-benefits </w:t>
      </w:r>
      <w:r w:rsidR="00B1392B">
        <w:t xml:space="preserve">associated with these exposures </w:t>
      </w:r>
      <w:r w:rsidR="003A4B55">
        <w:t xml:space="preserve">may exceed the potential benefits </w:t>
      </w:r>
      <w:r w:rsidR="003D2BFB">
        <w:t>of reducing</w:t>
      </w:r>
      <w:r w:rsidR="003A4B55">
        <w:t xml:space="preserve"> energy costs and greenhouse gas emissions.</w:t>
      </w:r>
    </w:p>
    <w:p w14:paraId="3AD77564" w14:textId="77777777" w:rsidR="00DA0292" w:rsidRDefault="00DA0292" w:rsidP="0052304F">
      <w:pPr>
        <w:spacing w:line="480" w:lineRule="auto"/>
      </w:pPr>
    </w:p>
    <w:p w14:paraId="7D69683B" w14:textId="77777777" w:rsidR="003A4B55" w:rsidRDefault="003A4B55" w:rsidP="0052304F">
      <w:pPr>
        <w:spacing w:line="480" w:lineRule="auto"/>
      </w:pPr>
    </w:p>
    <w:p w14:paraId="7DD72B6A" w14:textId="77777777" w:rsidR="008254EB" w:rsidRDefault="008254EB">
      <w:pPr>
        <w:rPr>
          <w:b/>
          <w:sz w:val="24"/>
          <w:szCs w:val="24"/>
        </w:rPr>
      </w:pPr>
      <w:r>
        <w:rPr>
          <w:b/>
          <w:sz w:val="24"/>
          <w:szCs w:val="24"/>
        </w:rPr>
        <w:br w:type="page"/>
      </w:r>
    </w:p>
    <w:p w14:paraId="76BF42DC" w14:textId="4D8EE60D" w:rsidR="00DA0292" w:rsidRPr="006E3B5D" w:rsidRDefault="003713F0" w:rsidP="0052304F">
      <w:pPr>
        <w:spacing w:line="480" w:lineRule="auto"/>
        <w:rPr>
          <w:sz w:val="24"/>
          <w:szCs w:val="24"/>
        </w:rPr>
      </w:pPr>
      <w:r w:rsidRPr="0094384E">
        <w:rPr>
          <w:b/>
          <w:sz w:val="24"/>
          <w:szCs w:val="24"/>
        </w:rPr>
        <w:lastRenderedPageBreak/>
        <w:t>Practical application</w:t>
      </w:r>
    </w:p>
    <w:p w14:paraId="634D0509" w14:textId="056C1302" w:rsidR="008254EB" w:rsidRPr="006E3B5D" w:rsidRDefault="006E3B5D" w:rsidP="0052304F">
      <w:pPr>
        <w:spacing w:line="480" w:lineRule="auto"/>
      </w:pPr>
      <w:r w:rsidRPr="006E3B5D">
        <w:t>R</w:t>
      </w:r>
      <w:r w:rsidR="008254EB" w:rsidRPr="006E3B5D">
        <w:t>educing uncontrolled ventilation of dwellings</w:t>
      </w:r>
      <w:r w:rsidRPr="006E3B5D">
        <w:t xml:space="preserve"> helps to improve</w:t>
      </w:r>
      <w:r>
        <w:t xml:space="preserve"> energy efficiency and can protect against the ingress of pollutants from the outdoor environment. However, simulation studies suggest that at high degrees of airtightness (</w:t>
      </w:r>
      <w:r w:rsidR="00826E2D">
        <w:t xml:space="preserve">very </w:t>
      </w:r>
      <w:r>
        <w:t>low permeability) there is a potentially steep rise in pollutants of indoor origin, whose adverse effects on health may outweigh the benefits of reduced energy use</w:t>
      </w:r>
      <w:r w:rsidR="0064168A">
        <w:t xml:space="preserve">, lower </w:t>
      </w:r>
      <w:r>
        <w:t>CO</w:t>
      </w:r>
      <w:r w:rsidRPr="0064168A">
        <w:rPr>
          <w:vertAlign w:val="subscript"/>
        </w:rPr>
        <w:t>2</w:t>
      </w:r>
      <w:r>
        <w:t xml:space="preserve"> emissions, and protection against outdoor </w:t>
      </w:r>
      <w:r w:rsidR="0064168A">
        <w:t>pollution</w:t>
      </w:r>
      <w:r>
        <w:t>.</w:t>
      </w:r>
      <w:r w:rsidR="00601D28">
        <w:t xml:space="preserve"> </w:t>
      </w:r>
      <w:r w:rsidR="0064168A">
        <w:t xml:space="preserve">Though the </w:t>
      </w:r>
      <w:r w:rsidR="00826E2D">
        <w:t>optimal</w:t>
      </w:r>
      <w:r w:rsidR="0064168A">
        <w:t xml:space="preserve"> permeability level for a given dwelling will vary with local circumstances, considerations of health protection suggest the need to avoid r</w:t>
      </w:r>
      <w:r w:rsidR="00596523">
        <w:t>educing p</w:t>
      </w:r>
      <w:r w:rsidR="00E5677F" w:rsidRPr="006E3B5D">
        <w:t xml:space="preserve">ermeability </w:t>
      </w:r>
      <w:r w:rsidR="00015B41" w:rsidRPr="006E3B5D">
        <w:t>to low levels</w:t>
      </w:r>
      <w:r w:rsidR="0064168A">
        <w:t>.</w:t>
      </w:r>
    </w:p>
    <w:p w14:paraId="7F343287" w14:textId="77777777" w:rsidR="008254EB" w:rsidRDefault="008254EB">
      <w:pPr>
        <w:rPr>
          <w:highlight w:val="yellow"/>
        </w:rPr>
      </w:pPr>
      <w:r>
        <w:rPr>
          <w:highlight w:val="yellow"/>
        </w:rPr>
        <w:br w:type="page"/>
      </w:r>
    </w:p>
    <w:p w14:paraId="33EB0301" w14:textId="177EDDB5" w:rsidR="001D26F1" w:rsidRPr="0094384E" w:rsidRDefault="003713F0" w:rsidP="0094384E">
      <w:pPr>
        <w:pStyle w:val="ListParagraph"/>
        <w:numPr>
          <w:ilvl w:val="0"/>
          <w:numId w:val="3"/>
        </w:numPr>
        <w:spacing w:line="480" w:lineRule="auto"/>
        <w:rPr>
          <w:b/>
          <w:sz w:val="24"/>
          <w:szCs w:val="24"/>
        </w:rPr>
      </w:pPr>
      <w:r w:rsidRPr="0094384E">
        <w:rPr>
          <w:b/>
          <w:sz w:val="24"/>
          <w:szCs w:val="24"/>
        </w:rPr>
        <w:lastRenderedPageBreak/>
        <w:t>Introduction</w:t>
      </w:r>
    </w:p>
    <w:p w14:paraId="061277BE" w14:textId="77777777" w:rsidR="003713F0" w:rsidRDefault="003713F0" w:rsidP="0052304F">
      <w:pPr>
        <w:spacing w:line="480" w:lineRule="auto"/>
      </w:pPr>
    </w:p>
    <w:p w14:paraId="59DF1627" w14:textId="5195D850" w:rsidR="00996D0C" w:rsidRDefault="00E51D84" w:rsidP="0052304F">
      <w:pPr>
        <w:spacing w:line="480" w:lineRule="auto"/>
      </w:pPr>
      <w:r w:rsidRPr="00B54BF2">
        <w:t>Residential emissions of greenhouse gases (GHGs) account for just under 17% of the UK’s total.</w:t>
      </w:r>
      <w:r w:rsidRPr="00B54BF2">
        <w:fldChar w:fldCharType="begin"/>
      </w:r>
      <w:r w:rsidR="005C4F26">
        <w:instrText xml:space="preserve"> ADDIN EN.CITE &lt;EndNote&gt;&lt;Cite&gt;&lt;Author&gt;DECC&lt;/Author&gt;&lt;Year&gt;2014&lt;/Year&gt;&lt;RecNum&gt;1&lt;/RecNum&gt;&lt;DisplayText&gt;&lt;style face="superscript"&gt;1&lt;/style&gt;&lt;/DisplayText&gt;&lt;record&gt;&lt;rec-number&gt;1&lt;/rec-number&gt;&lt;foreign-keys&gt;&lt;key app="EN" db-id="v2x05fr5xze0tkez0psxzdxyvvstv22t5s5e"&gt;1&lt;/key&gt;&lt;/foreign-keys&gt;&lt;ref-type name="Report"&gt;27&lt;/ref-type&gt;&lt;contributors&gt;&lt;authors&gt;&lt;author&gt;DECC&lt;/author&gt;&lt;/authors&gt;&lt;/contributors&gt;&lt;titles&gt;&lt;title&gt;2013 UK Greenhouse Gas Emissions. Provisional Figures and 2012 UK Greenhouse Gas Emissions. Final Figures by Fuel Type and End-User&lt;/title&gt;&lt;/titles&gt;&lt;dates&gt;&lt;year&gt;2014&lt;/year&gt;&lt;/dates&gt;&lt;pub-location&gt;London, UK&lt;/pub-location&gt;&lt;publisher&gt;Department of Energy and Climate Change&lt;/publisher&gt;&lt;urls&gt;&lt;related-urls&gt;&lt;url&gt;https://www.gov.uk/government/uploads/system/uploads/attachment_data/file/295968/20140327_2013_UK_Greenhouse_Gas_Emissions_Provisional_Figures.pdf&lt;/url&gt;&lt;/related-urls&gt;&lt;/urls&gt;&lt;/record&gt;&lt;/Cite&gt;&lt;/EndNote&gt;</w:instrText>
      </w:r>
      <w:r w:rsidRPr="00B54BF2">
        <w:fldChar w:fldCharType="separate"/>
      </w:r>
      <w:r w:rsidRPr="00B54BF2">
        <w:rPr>
          <w:noProof/>
          <w:vertAlign w:val="superscript"/>
        </w:rPr>
        <w:t>1</w:t>
      </w:r>
      <w:r w:rsidRPr="00B54BF2">
        <w:fldChar w:fldCharType="end"/>
      </w:r>
      <w:r w:rsidR="008B5384">
        <w:t xml:space="preserve"> </w:t>
      </w:r>
      <w:r w:rsidRPr="00B54BF2">
        <w:t xml:space="preserve">They are an important target for emissions reduction because of the relative tractability of energy efficiency and other GHG-sparing measures in this sector, and </w:t>
      </w:r>
      <w:r w:rsidR="00996D0C" w:rsidRPr="00B54BF2">
        <w:t xml:space="preserve">because of the potential ancillary benefits of such measures for the alleviation of fuel poverty, household energy insecurity, and winter-and cold-related mortality and morbidity. Substantial investments are needed and planned for the coming decades, with primary emphasis on energy efficiency achieved through </w:t>
      </w:r>
      <w:r w:rsidR="00565753" w:rsidRPr="00B54BF2">
        <w:t xml:space="preserve">better insulation of the fabric (the walls, roof, and floor) of dwellings and </w:t>
      </w:r>
      <w:r w:rsidR="00565753" w:rsidRPr="00622AF5">
        <w:t>tighter control of ventilation.</w:t>
      </w:r>
      <w:r w:rsidR="00622AF5">
        <w:fldChar w:fldCharType="begin"/>
      </w:r>
      <w:r w:rsidR="00F4579A">
        <w:instrText xml:space="preserve"> ADDIN EN.CITE &lt;EndNote&gt;&lt;Cite&gt;&lt;Author&gt;DECC&lt;/Author&gt;&lt;Year&gt;2009&lt;/Year&gt;&lt;RecNum&gt;30&lt;/RecNum&gt;&lt;DisplayText&gt;&lt;style face="superscript"&gt;2, 3&lt;/style&gt;&lt;/DisplayText&gt;&lt;record&gt;&lt;rec-number&gt;30&lt;/rec-number&gt;&lt;foreign-keys&gt;&lt;key app="EN" db-id="v2x05fr5xze0tkez0psxzdxyvvstv22t5s5e"&gt;30&lt;/key&gt;&lt;/foreign-keys&gt;&lt;ref-type name="Report"&gt;27&lt;/ref-type&gt;&lt;contributors&gt;&lt;authors&gt;&lt;author&gt;DECC&lt;/author&gt;&lt;/authors&gt;&lt;/contributors&gt;&lt;titles&gt;&lt;title&gt;The UK Low Carbon Transition Plan: National Strategy for Climate and Energy&lt;/title&gt;&lt;/titles&gt;&lt;dates&gt;&lt;year&gt;2009&lt;/year&gt;&lt;/dates&gt;&lt;pub-location&gt;London, UK&lt;/pub-location&gt;&lt;publisher&gt;Department of Energy and Climate Change&lt;/publisher&gt;&lt;urls&gt;&lt;/urls&gt;&lt;/record&gt;&lt;/Cite&gt;&lt;Cite&gt;&lt;Author&gt;CCC&lt;/Author&gt;&lt;Year&gt;2010&lt;/Year&gt;&lt;RecNum&gt;31&lt;/RecNum&gt;&lt;record&gt;&lt;rec-number&gt;31&lt;/rec-number&gt;&lt;foreign-keys&gt;&lt;key app="EN" db-id="v2x05fr5xze0tkez0psxzdxyvvstv22t5s5e"&gt;31&lt;/key&gt;&lt;/foreign-keys&gt;&lt;ref-type name="Report"&gt;27&lt;/ref-type&gt;&lt;contributors&gt;&lt;authors&gt;&lt;author&gt;UK CCC,&lt;/author&gt;&lt;/authors&gt;&lt;/contributors&gt;&lt;titles&gt;&lt;title&gt;Fourth Carbon Budget&lt;/title&gt;&lt;/titles&gt;&lt;dates&gt;&lt;year&gt;2010&lt;/year&gt;&lt;/dates&gt;&lt;pub-location&gt;London, UK&lt;/pub-location&gt;&lt;publisher&gt;UK Committee on Climate Change&lt;/publisher&gt;&lt;urls&gt;&lt;/urls&gt;&lt;/record&gt;&lt;/Cite&gt;&lt;/EndNote&gt;</w:instrText>
      </w:r>
      <w:r w:rsidR="00622AF5">
        <w:fldChar w:fldCharType="separate"/>
      </w:r>
      <w:r w:rsidR="00622AF5" w:rsidRPr="00622AF5">
        <w:rPr>
          <w:noProof/>
          <w:vertAlign w:val="superscript"/>
        </w:rPr>
        <w:t>2, 3</w:t>
      </w:r>
      <w:r w:rsidR="00622AF5">
        <w:fldChar w:fldCharType="end"/>
      </w:r>
    </w:p>
    <w:p w14:paraId="1B3EF47F" w14:textId="77777777" w:rsidR="003713F0" w:rsidRPr="00B54BF2" w:rsidRDefault="003713F0" w:rsidP="0052304F">
      <w:pPr>
        <w:spacing w:line="480" w:lineRule="auto"/>
      </w:pPr>
    </w:p>
    <w:p w14:paraId="5E61B95F" w14:textId="15E9E4A8" w:rsidR="001D26F1" w:rsidRDefault="00000E67" w:rsidP="0052304F">
      <w:pPr>
        <w:spacing w:line="480" w:lineRule="auto"/>
      </w:pPr>
      <w:r>
        <w:t>W</w:t>
      </w:r>
      <w:r w:rsidR="009168DF">
        <w:t>e</w:t>
      </w:r>
      <w:r w:rsidR="006E2FC1" w:rsidRPr="00B54BF2">
        <w:t xml:space="preserve"> have previously reported potential adverse consequences for indoor radon concentrations and health of reducing uncontrolled ventilation in dwellings.</w:t>
      </w:r>
      <w:r w:rsidR="006E2FC1" w:rsidRPr="00B54BF2">
        <w:fldChar w:fldCharType="begin"/>
      </w:r>
      <w:r w:rsidR="00622AF5">
        <w:instrText xml:space="preserve"> ADDIN EN.CITE &lt;EndNote&gt;&lt;Cite&gt;&lt;Author&gt;Milner&lt;/Author&gt;&lt;Year&gt;2014&lt;/Year&gt;&lt;RecNum&gt;2&lt;/RecNum&gt;&lt;DisplayText&gt;&lt;style face="superscript"&gt;4&lt;/style&gt;&lt;/DisplayText&gt;&lt;record&gt;&lt;rec-number&gt;2&lt;/rec-number&gt;&lt;foreign-keys&gt;&lt;key app="EN" db-id="v2x05fr5xze0tkez0psxzdxyvvstv22t5s5e"&gt;2&lt;/key&gt;&lt;/foreign-keys&gt;&lt;ref-type name="Journal Article"&gt;17&lt;/ref-type&gt;&lt;contributors&gt;&lt;authors&gt;&lt;author&gt;Milner, J.&lt;/author&gt;&lt;author&gt;Shrubsole, C.&lt;/author&gt;&lt;author&gt;Das, P.&lt;/author&gt;&lt;author&gt;Jones, B.&lt;/author&gt;&lt;author&gt;Ridley, I.&lt;/author&gt;&lt;author&gt;Chalabi, Z.&lt;/author&gt;&lt;author&gt;Hamilton, I.&lt;/author&gt;&lt;author&gt;Armstrong, B.&lt;/author&gt;&lt;author&gt;Davies, M.&lt;/author&gt;&lt;author&gt;Wilkinson, P.&lt;/author&gt;&lt;/authors&gt;&lt;/contributors&gt;&lt;auth-address&gt;Department of Social and Environmental Health Research, London School of Hygiene and Tropical Medicine, 15-17 Tavistock Place, London WC1H 9SH, UK.&lt;/auth-address&gt;&lt;titles&gt;&lt;title&gt;Home energy efficiency and radon related risk of lung cancer: modelling study&lt;/title&gt;&lt;secondary-title&gt;BMJ&lt;/secondary-title&gt;&lt;/titles&gt;&lt;periodical&gt;&lt;full-title&gt;Bmj&lt;/full-title&gt;&lt;abbr-1&gt;BMJ (Clinical research ed.)&lt;/abbr-1&gt;&lt;/periodical&gt;&lt;pages&gt;f7493&lt;/pages&gt;&lt;volume&gt;348&lt;/volume&gt;&lt;edition&gt;2014/01/15&lt;/edition&gt;&lt;keywords&gt;&lt;keyword&gt;Air Pollutants, Radioactive/*toxicity&lt;/keyword&gt;&lt;keyword&gt;Air Pollution, Indoor/*adverse effects&lt;/keyword&gt;&lt;keyword&gt;Carcinogens, Environmental/*toxicity&lt;/keyword&gt;&lt;keyword&gt;England/epidemiology&lt;/keyword&gt;&lt;keyword&gt;Government Programs&lt;/keyword&gt;&lt;keyword&gt;Housing/*standards&lt;/keyword&gt;&lt;keyword&gt;Humans&lt;/keyword&gt;&lt;keyword&gt;Lung Neoplasms/*mortality&lt;/keyword&gt;&lt;keyword&gt;Models, Theoretical&lt;/keyword&gt;&lt;keyword&gt;Neoplasms, Radiation-Induced/*mortality&lt;/keyword&gt;&lt;keyword&gt;Radon/*toxicity&lt;/keyword&gt;&lt;keyword&gt;Ventilation/standards&lt;/keyword&gt;&lt;/keywords&gt;&lt;dates&gt;&lt;year&gt;2014&lt;/year&gt;&lt;/dates&gt;&lt;isbn&gt;0959-535x&lt;/isbn&gt;&lt;accession-num&gt;24415631&lt;/accession-num&gt;&lt;urls&gt;&lt;/urls&gt;&lt;custom2&gt;Pmc3898159&lt;/custom2&gt;&lt;electronic-resource-num&gt;10.1136/bmj.f7493&lt;/electronic-resource-num&gt;&lt;remote-database-provider&gt;NLM&lt;/remote-database-provider&gt;&lt;language&gt;eng&lt;/language&gt;&lt;/record&gt;&lt;/Cite&gt;&lt;/EndNote&gt;</w:instrText>
      </w:r>
      <w:r w:rsidR="006E2FC1" w:rsidRPr="00B54BF2">
        <w:fldChar w:fldCharType="separate"/>
      </w:r>
      <w:r w:rsidR="00622AF5" w:rsidRPr="00622AF5">
        <w:rPr>
          <w:noProof/>
          <w:vertAlign w:val="superscript"/>
        </w:rPr>
        <w:t>4</w:t>
      </w:r>
      <w:r w:rsidR="006E2FC1" w:rsidRPr="00B54BF2">
        <w:fldChar w:fldCharType="end"/>
      </w:r>
      <w:r w:rsidR="008B5384">
        <w:t xml:space="preserve"> </w:t>
      </w:r>
      <w:r w:rsidR="006E2FC1" w:rsidRPr="00B54BF2">
        <w:t xml:space="preserve">Similar arguments apply to other pollutants derived from indoor sources, notably particles of indoor origin, </w:t>
      </w:r>
      <w:r w:rsidR="005E558F">
        <w:t>environmental</w:t>
      </w:r>
      <w:r w:rsidR="006E2FC1" w:rsidRPr="00B54BF2">
        <w:t xml:space="preserve"> </w:t>
      </w:r>
      <w:r w:rsidR="005E558F">
        <w:t xml:space="preserve">(second-hand) </w:t>
      </w:r>
      <w:r w:rsidR="006E2FC1" w:rsidRPr="00B54BF2">
        <w:t>tobacco smoke and those associated with mould growth, although reduced air exchange would have a positive benefit in protecting against the ingress into the home of particles and other pollutants from the outdoor air.</w:t>
      </w:r>
      <w:r w:rsidR="006E2FC1" w:rsidRPr="00B54BF2">
        <w:fldChar w:fldCharType="begin"/>
      </w:r>
      <w:r w:rsidR="00622AF5">
        <w:instrText xml:space="preserve"> ADDIN EN.CITE &lt;EndNote&gt;&lt;Cite&gt;&lt;Author&gt;Hänninen&lt;/Author&gt;&lt;Year&gt;2005&lt;/Year&gt;&lt;RecNum&gt;3&lt;/RecNum&gt;&lt;DisplayText&gt;&lt;style face="superscript"&gt;5&lt;/style&gt;&lt;/DisplayText&gt;&lt;record&gt;&lt;rec-number&gt;3&lt;/rec-number&gt;&lt;foreign-keys&gt;&lt;key app="EN" db-id="v2x05fr5xze0tkez0psxzdxyvvstv22t5s5e"&gt;3&lt;/key&gt;&lt;/foreign-keys&gt;&lt;ref-type name="Journal Article"&gt;17&lt;/ref-type&gt;&lt;contributors&gt;&lt;authors&gt;&lt;author&gt;Hänninen, O.O.&lt;/author&gt;&lt;author&gt;Palonen, J.&lt;/author&gt;&lt;author&gt;Tuomisto, J.T.&lt;/author&gt;&lt;author&gt;Yli-Tuomi, T.&lt;/author&gt;&lt;author&gt;Seppänen, O.&lt;/author&gt;&lt;author&gt;Jantunen, M.J.&lt;/author&gt;&lt;/authors&gt;&lt;/contributors&gt;&lt;titles&gt;&lt;title&gt;&lt;style face="normal" font="default" size="100%"&gt;Reduction potential of urban PM&lt;/style&gt;&lt;style face="subscript" font="default" size="100%"&gt;2.5&lt;/style&gt;&lt;style face="normal" font="default" size="100%"&gt; mortality risk using modern ventilation systems in buildings&lt;/style&gt;&lt;/title&gt;&lt;secondary-title&gt;Indoor Air&lt;/secondary-title&gt;&lt;/titles&gt;&lt;periodical&gt;&lt;full-title&gt;Indoor Air&lt;/full-title&gt;&lt;/periodical&gt;&lt;pages&gt;246-56&lt;/pages&gt;&lt;volume&gt;15&lt;/volume&gt;&lt;dates&gt;&lt;year&gt;2005&lt;/year&gt;&lt;/dates&gt;&lt;urls&gt;&lt;/urls&gt;&lt;/record&gt;&lt;/Cite&gt;&lt;/EndNote&gt;</w:instrText>
      </w:r>
      <w:r w:rsidR="006E2FC1" w:rsidRPr="00B54BF2">
        <w:fldChar w:fldCharType="separate"/>
      </w:r>
      <w:r w:rsidR="00622AF5" w:rsidRPr="00622AF5">
        <w:rPr>
          <w:noProof/>
          <w:vertAlign w:val="superscript"/>
        </w:rPr>
        <w:t>5</w:t>
      </w:r>
      <w:r w:rsidR="006E2FC1" w:rsidRPr="00B54BF2">
        <w:fldChar w:fldCharType="end"/>
      </w:r>
      <w:r w:rsidR="006E2FC1" w:rsidRPr="00B54BF2">
        <w:t xml:space="preserve"> Moreover, reduction of ventilation-related heat losses is likely to make only a modest contribution to the overall energy efficiency improvement of existing dwellings, and to the increase in indoor temperatures.</w:t>
      </w:r>
      <w:r w:rsidR="006E2FC1" w:rsidRPr="00B54BF2">
        <w:fldChar w:fldCharType="begin"/>
      </w:r>
      <w:r w:rsidR="00622AF5">
        <w:instrText xml:space="preserve"> ADDIN EN.CITE &lt;EndNote&gt;&lt;Cite&gt;&lt;Author&gt;Oreszczyn&lt;/Author&gt;&lt;Year&gt;2006&lt;/Year&gt;&lt;RecNum&gt;4&lt;/RecNum&gt;&lt;DisplayText&gt;&lt;style face="superscript"&gt;6&lt;/style&gt;&lt;/DisplayText&gt;&lt;record&gt;&lt;rec-number&gt;4&lt;/rec-number&gt;&lt;foreign-keys&gt;&lt;key app="EN" db-id="v2x05fr5xze0tkez0psxzdxyvvstv22t5s5e"&gt;4&lt;/key&gt;&lt;/foreign-keys&gt;&lt;ref-type name="Journal Article"&gt;17&lt;/ref-type&gt;&lt;contributors&gt;&lt;authors&gt;&lt;author&gt;Oreszczyn, T.&lt;/author&gt;&lt;author&gt;Hong, S.&lt;/author&gt;&lt;author&gt;Ridley, I.&lt;/author&gt;&lt;author&gt;Wilkinson, P.&lt;/author&gt;&lt;/authors&gt;&lt;/contributors&gt;&lt;titles&gt;&lt;title&gt;Determinants of winter indoor temperatures in low income households in England&lt;/title&gt;&lt;secondary-title&gt;Energy and Buildings&lt;/secondary-title&gt;&lt;/titles&gt;&lt;periodical&gt;&lt;full-title&gt;Energy and Buildings&lt;/full-title&gt;&lt;/periodical&gt;&lt;pages&gt;245-52&lt;/pages&gt;&lt;volume&gt;38&lt;/volume&gt;&lt;dates&gt;&lt;year&gt;2006&lt;/year&gt;&lt;/dates&gt;&lt;urls&gt;&lt;/urls&gt;&lt;/record&gt;&lt;/Cite&gt;&lt;/EndNote&gt;</w:instrText>
      </w:r>
      <w:r w:rsidR="006E2FC1" w:rsidRPr="00B54BF2">
        <w:fldChar w:fldCharType="separate"/>
      </w:r>
      <w:r w:rsidR="00622AF5" w:rsidRPr="00622AF5">
        <w:rPr>
          <w:noProof/>
          <w:vertAlign w:val="superscript"/>
        </w:rPr>
        <w:t>6</w:t>
      </w:r>
      <w:r w:rsidR="006E2FC1" w:rsidRPr="00B54BF2">
        <w:fldChar w:fldCharType="end"/>
      </w:r>
      <w:r w:rsidR="006E2FC1" w:rsidRPr="00B54BF2">
        <w:t xml:space="preserve"> Thus, there is a potential trade-off with ventilation control </w:t>
      </w:r>
      <w:r w:rsidR="006E2FC1" w:rsidRPr="00B54BF2">
        <w:lastRenderedPageBreak/>
        <w:t>between the positive effects of improving energy efficiency and protecting against outdoor pollutants</w:t>
      </w:r>
      <w:r w:rsidR="0047341E">
        <w:t xml:space="preserve"> on the one hand</w:t>
      </w:r>
      <w:r w:rsidR="006E2FC1" w:rsidRPr="00B54BF2">
        <w:t>, and the adverse consequences of increase</w:t>
      </w:r>
      <w:r>
        <w:t>s in pollutants derived from</w:t>
      </w:r>
      <w:r w:rsidR="006E2FC1" w:rsidRPr="00B54BF2">
        <w:t xml:space="preserve"> indoor sources</w:t>
      </w:r>
      <w:r w:rsidR="0047341E">
        <w:t xml:space="preserve"> on the other</w:t>
      </w:r>
      <w:r w:rsidR="006E2FC1" w:rsidRPr="00B54BF2">
        <w:t>.</w:t>
      </w:r>
    </w:p>
    <w:p w14:paraId="1C1A537A" w14:textId="77777777" w:rsidR="00F57B5B" w:rsidRDefault="00F57B5B" w:rsidP="0052304F">
      <w:pPr>
        <w:spacing w:line="480" w:lineRule="auto"/>
      </w:pPr>
    </w:p>
    <w:p w14:paraId="66115E3B" w14:textId="7C95A041" w:rsidR="001D26F1" w:rsidRDefault="009168DF" w:rsidP="0052304F">
      <w:pPr>
        <w:spacing w:line="480" w:lineRule="auto"/>
      </w:pPr>
      <w:r>
        <w:t>In previous work, we de</w:t>
      </w:r>
      <w:r w:rsidR="0047341E">
        <w:t>scribed</w:t>
      </w:r>
      <w:r>
        <w:t xml:space="preserve"> a</w:t>
      </w:r>
      <w:r w:rsidR="0047341E">
        <w:t>n</w:t>
      </w:r>
      <w:r>
        <w:t xml:space="preserve"> optimization approach for </w:t>
      </w:r>
      <w:r w:rsidR="00FE6A72">
        <w:t xml:space="preserve">determining </w:t>
      </w:r>
      <w:r w:rsidR="004875A1">
        <w:t>ideal</w:t>
      </w:r>
      <w:r w:rsidR="00FE6A72">
        <w:t xml:space="preserve"> ventilation rates </w:t>
      </w:r>
      <w:r w:rsidR="0047341E">
        <w:t>of</w:t>
      </w:r>
      <w:r w:rsidR="004875A1">
        <w:t xml:space="preserve"> </w:t>
      </w:r>
      <w:r w:rsidR="00FE6A72">
        <w:t xml:space="preserve">dwellings, accounting for </w:t>
      </w:r>
      <w:r w:rsidR="00295CB8">
        <w:t>their</w:t>
      </w:r>
      <w:r w:rsidR="004875A1">
        <w:t xml:space="preserve"> </w:t>
      </w:r>
      <w:r w:rsidR="00000E67">
        <w:t>energy use and</w:t>
      </w:r>
      <w:r w:rsidR="004875A1">
        <w:t xml:space="preserve"> impact</w:t>
      </w:r>
      <w:r w:rsidR="00000E67">
        <w:t xml:space="preserve"> on health</w:t>
      </w:r>
      <w:r>
        <w:t>.</w:t>
      </w:r>
      <w:r w:rsidR="00F57B5B">
        <w:fldChar w:fldCharType="begin"/>
      </w:r>
      <w:r w:rsidR="00622AF5">
        <w:instrText xml:space="preserve"> ADDIN EN.CITE &lt;EndNote&gt;&lt;Cite&gt;&lt;Author&gt;Das&lt;/Author&gt;&lt;Year&gt;2013&lt;/Year&gt;&lt;RecNum&gt;27&lt;/RecNum&gt;&lt;DisplayText&gt;&lt;style face="superscript"&gt;7&lt;/style&gt;&lt;/DisplayText&gt;&lt;record&gt;&lt;rec-number&gt;27&lt;/rec-number&gt;&lt;foreign-keys&gt;&lt;key app="EN" db-id="v2x05fr5xze0tkez0psxzdxyvvstv22t5s5e"&gt;27&lt;/key&gt;&lt;/foreign-keys&gt;&lt;ref-type name="Journal Article"&gt;17&lt;/ref-type&gt;&lt;contributors&gt;&lt;authors&gt;&lt;author&gt;Das, P.&lt;/author&gt;&lt;author&gt;Chalabi, Z.&lt;/author&gt;&lt;author&gt;Jones, B.&lt;/author&gt;&lt;author&gt;Milner, J.&lt;/author&gt;&lt;author&gt;Shrubsole, C.&lt;/author&gt;&lt;author&gt;Davies, M.&lt;/author&gt;&lt;author&gt;Hamilton, I.&lt;/author&gt;&lt;author&gt;Ridley, I.&lt;/author&gt;&lt;author&gt;Wilkinson, P.&lt;/author&gt;&lt;/authors&gt;&lt;/contributors&gt;&lt;titles&gt;&lt;title&gt;Multi-objective methods for determining optimal ventilation rates in dwellings&lt;/title&gt;&lt;secondary-title&gt;Building and Environment&lt;/secondary-title&gt;&lt;/titles&gt;&lt;periodical&gt;&lt;full-title&gt;Building and Environment&lt;/full-title&gt;&lt;/periodical&gt;&lt;pages&gt;72-81&lt;/pages&gt;&lt;volume&gt;66&lt;/volume&gt;&lt;dates&gt;&lt;year&gt;2013&lt;/year&gt;&lt;/dates&gt;&lt;urls&gt;&lt;/urls&gt;&lt;/record&gt;&lt;/Cite&gt;&lt;/EndNote&gt;</w:instrText>
      </w:r>
      <w:r w:rsidR="00F57B5B">
        <w:fldChar w:fldCharType="separate"/>
      </w:r>
      <w:r w:rsidR="00622AF5" w:rsidRPr="00622AF5">
        <w:rPr>
          <w:noProof/>
          <w:vertAlign w:val="superscript"/>
        </w:rPr>
        <w:t>7</w:t>
      </w:r>
      <w:r w:rsidR="00F57B5B">
        <w:fldChar w:fldCharType="end"/>
      </w:r>
      <w:r>
        <w:t xml:space="preserve"> </w:t>
      </w:r>
      <w:r w:rsidR="0047341E">
        <w:t>T</w:t>
      </w:r>
      <w:r>
        <w:t xml:space="preserve">his paper </w:t>
      </w:r>
      <w:r w:rsidR="0047341E">
        <w:t xml:space="preserve">further </w:t>
      </w:r>
      <w:r w:rsidR="00FE6A72">
        <w:t>explore</w:t>
      </w:r>
      <w:r w:rsidR="00731AAE">
        <w:t>s</w:t>
      </w:r>
      <w:r w:rsidR="00FE6A72">
        <w:t xml:space="preserve"> </w:t>
      </w:r>
      <w:r w:rsidR="006E2FC1" w:rsidRPr="00B54BF2">
        <w:t xml:space="preserve">the </w:t>
      </w:r>
      <w:r w:rsidR="00D8359B">
        <w:t xml:space="preserve">risk/benefit </w:t>
      </w:r>
      <w:r w:rsidR="0047341E">
        <w:t>trade-off</w:t>
      </w:r>
      <w:r w:rsidR="00D8359B">
        <w:t xml:space="preserve">s through a set of simulation studies that indicate </w:t>
      </w:r>
      <w:r w:rsidR="009172B6">
        <w:t xml:space="preserve">the nature of the transition towards dominant adverse health effects as dwelling ventilation is </w:t>
      </w:r>
      <w:r w:rsidR="00000E67">
        <w:t>reduced</w:t>
      </w:r>
      <w:r w:rsidR="009172B6">
        <w:t xml:space="preserve">. </w:t>
      </w:r>
    </w:p>
    <w:p w14:paraId="4A4951ED" w14:textId="7FF500D2" w:rsidR="003713F0" w:rsidRDefault="003713F0" w:rsidP="0052304F">
      <w:pPr>
        <w:spacing w:line="480" w:lineRule="auto"/>
      </w:pPr>
    </w:p>
    <w:p w14:paraId="4358ECC7" w14:textId="1006853B" w:rsidR="00794F2A" w:rsidRPr="0094384E" w:rsidRDefault="003713F0" w:rsidP="0094384E">
      <w:pPr>
        <w:pStyle w:val="ListParagraph"/>
        <w:numPr>
          <w:ilvl w:val="0"/>
          <w:numId w:val="3"/>
        </w:numPr>
        <w:spacing w:line="480" w:lineRule="auto"/>
        <w:rPr>
          <w:b/>
          <w:sz w:val="24"/>
          <w:szCs w:val="24"/>
        </w:rPr>
      </w:pPr>
      <w:r w:rsidRPr="0094384E">
        <w:rPr>
          <w:b/>
          <w:sz w:val="24"/>
          <w:szCs w:val="24"/>
        </w:rPr>
        <w:t>Methods</w:t>
      </w:r>
    </w:p>
    <w:p w14:paraId="3AAC7BB4" w14:textId="77777777" w:rsidR="003713F0" w:rsidRDefault="003713F0" w:rsidP="0052304F">
      <w:pPr>
        <w:spacing w:line="480" w:lineRule="auto"/>
      </w:pPr>
    </w:p>
    <w:p w14:paraId="458064FC" w14:textId="5AF98C7A" w:rsidR="008507DC" w:rsidRDefault="004546AC" w:rsidP="0052304F">
      <w:pPr>
        <w:spacing w:line="480" w:lineRule="auto"/>
      </w:pPr>
      <w:r>
        <w:t>We modelled</w:t>
      </w:r>
      <w:r w:rsidR="00EB4D49" w:rsidRPr="00B54BF2">
        <w:t xml:space="preserve"> </w:t>
      </w:r>
      <w:r w:rsidR="00F025D7" w:rsidRPr="00B54BF2">
        <w:t>i</w:t>
      </w:r>
      <w:r w:rsidR="00F025D7">
        <w:t>n</w:t>
      </w:r>
      <w:r w:rsidR="00F025D7" w:rsidRPr="00B54BF2">
        <w:t>door</w:t>
      </w:r>
      <w:r w:rsidR="0040726C" w:rsidRPr="00B54BF2">
        <w:t xml:space="preserve"> </w:t>
      </w:r>
      <w:r w:rsidR="00EB4D49" w:rsidRPr="00B54BF2">
        <w:t xml:space="preserve">levels of several contaminants, energy demand for space heating, and associated </w:t>
      </w:r>
      <w:r w:rsidR="00060774">
        <w:t>GHG</w:t>
      </w:r>
      <w:r w:rsidR="00EB4D49" w:rsidRPr="00B54BF2">
        <w:t xml:space="preserve"> emissions in a typical</w:t>
      </w:r>
      <w:r w:rsidR="008507DC" w:rsidRPr="00B54BF2">
        <w:t xml:space="preserve"> </w:t>
      </w:r>
      <w:r w:rsidR="008C3D2F" w:rsidRPr="00B54BF2">
        <w:t xml:space="preserve">English </w:t>
      </w:r>
      <w:r w:rsidR="008507DC" w:rsidRPr="00B54BF2">
        <w:t>detached house</w:t>
      </w:r>
      <w:r w:rsidR="00EB4D49" w:rsidRPr="00B54BF2">
        <w:t xml:space="preserve"> with three bedrooms </w:t>
      </w:r>
      <w:r>
        <w:t>o</w:t>
      </w:r>
      <w:r w:rsidR="00EB4D49" w:rsidRPr="00B54BF2">
        <w:t xml:space="preserve">ver </w:t>
      </w:r>
      <w:r w:rsidR="008C3D2F" w:rsidRPr="00B54BF2">
        <w:t>permeabilit</w:t>
      </w:r>
      <w:r w:rsidR="00565753" w:rsidRPr="00B54BF2">
        <w:t>y values</w:t>
      </w:r>
      <w:r>
        <w:t xml:space="preserve"> in the range 1 to 40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245958">
        <w:t xml:space="preserve"> at 50 Pa</w:t>
      </w:r>
      <w:r>
        <w:t>, and estimated the associated h</w:t>
      </w:r>
      <w:r w:rsidR="00EB4D49" w:rsidRPr="00B54BF2">
        <w:t xml:space="preserve">ealth burdens </w:t>
      </w:r>
      <w:r w:rsidR="008C3D2F" w:rsidRPr="00B54BF2">
        <w:t>using life table</w:t>
      </w:r>
      <w:r>
        <w:t xml:space="preserve"> method</w:t>
      </w:r>
      <w:r w:rsidR="008C3D2F" w:rsidRPr="00B54BF2">
        <w:t>s</w:t>
      </w:r>
      <w:r w:rsidR="00EB4D49" w:rsidRPr="00B54BF2">
        <w:t xml:space="preserve">. </w:t>
      </w:r>
    </w:p>
    <w:p w14:paraId="72B5FA1E" w14:textId="77777777" w:rsidR="003713F0" w:rsidRPr="00B54BF2" w:rsidRDefault="003713F0" w:rsidP="0052304F">
      <w:pPr>
        <w:spacing w:line="480" w:lineRule="auto"/>
      </w:pPr>
    </w:p>
    <w:p w14:paraId="69AEF774" w14:textId="748B9A17" w:rsidR="008507DC" w:rsidRPr="0094384E" w:rsidRDefault="003713F0" w:rsidP="0052304F">
      <w:pPr>
        <w:spacing w:line="480" w:lineRule="auto"/>
        <w:rPr>
          <w:b/>
        </w:rPr>
      </w:pPr>
      <w:r w:rsidRPr="0094384E">
        <w:rPr>
          <w:b/>
        </w:rPr>
        <w:t xml:space="preserve">2.1 </w:t>
      </w:r>
      <w:r w:rsidR="008507DC" w:rsidRPr="0094384E">
        <w:rPr>
          <w:b/>
        </w:rPr>
        <w:t>Indoor exposures</w:t>
      </w:r>
    </w:p>
    <w:p w14:paraId="3AAA8491" w14:textId="77777777" w:rsidR="003713F0" w:rsidRDefault="003713F0" w:rsidP="0052304F">
      <w:pPr>
        <w:spacing w:line="480" w:lineRule="auto"/>
      </w:pPr>
    </w:p>
    <w:p w14:paraId="78580A28" w14:textId="73D41A08" w:rsidR="00114CCB" w:rsidRDefault="00B04239" w:rsidP="0052304F">
      <w:pPr>
        <w:spacing w:line="480" w:lineRule="auto"/>
      </w:pPr>
      <w:r w:rsidRPr="00B54BF2">
        <w:lastRenderedPageBreak/>
        <w:t xml:space="preserve">The validated multizone </w:t>
      </w:r>
      <w:r w:rsidR="00922168" w:rsidRPr="00B54BF2">
        <w:t xml:space="preserve">pollutant </w:t>
      </w:r>
      <w:r w:rsidRPr="00B54BF2">
        <w:t xml:space="preserve">model </w:t>
      </w:r>
      <w:r w:rsidR="00D3162F" w:rsidRPr="00B54BF2">
        <w:t>CONTAM</w:t>
      </w:r>
      <w:r w:rsidR="00495A73" w:rsidRPr="00B54BF2">
        <w:fldChar w:fldCharType="begin"/>
      </w:r>
      <w:r w:rsidR="00622AF5">
        <w:instrText xml:space="preserve"> ADDIN EN.CITE &lt;EndNote&gt;&lt;Cite&gt;&lt;Author&gt;Emmerich&lt;/Author&gt;&lt;Year&gt;2001&lt;/Year&gt;&lt;RecNum&gt;5&lt;/RecNum&gt;&lt;DisplayText&gt;&lt;style face="superscript"&gt;8&lt;/style&gt;&lt;/DisplayText&gt;&lt;record&gt;&lt;rec-number&gt;5&lt;/rec-number&gt;&lt;foreign-keys&gt;&lt;key app="EN" db-id="v2x05fr5xze0tkez0psxzdxyvvstv22t5s5e"&gt;5&lt;/key&gt;&lt;/foreign-keys&gt;&lt;ref-type name="Journal Article"&gt;17&lt;/ref-type&gt;&lt;contributors&gt;&lt;authors&gt;&lt;author&gt;Emmerich, S.J.&lt;/author&gt;&lt;/authors&gt;&lt;/contributors&gt;&lt;titles&gt;&lt;title&gt;Validation of multizone IAQ modeling of residential-scale buildings: a review&lt;/title&gt;&lt;secondary-title&gt;ASHRAE Transactions&lt;/secondary-title&gt;&lt;/titles&gt;&lt;periodical&gt;&lt;full-title&gt;ASHRAE Transactions&lt;/full-title&gt;&lt;/periodical&gt;&lt;pages&gt;1-10&lt;/pages&gt;&lt;volume&gt;107&lt;/volume&gt;&lt;number&gt;2&lt;/number&gt;&lt;dates&gt;&lt;year&gt;2001&lt;/year&gt;&lt;/dates&gt;&lt;urls&gt;&lt;/urls&gt;&lt;/record&gt;&lt;/Cite&gt;&lt;/EndNote&gt;</w:instrText>
      </w:r>
      <w:r w:rsidR="00495A73" w:rsidRPr="00B54BF2">
        <w:fldChar w:fldCharType="separate"/>
      </w:r>
      <w:r w:rsidR="00622AF5" w:rsidRPr="00622AF5">
        <w:rPr>
          <w:noProof/>
          <w:vertAlign w:val="superscript"/>
        </w:rPr>
        <w:t>8</w:t>
      </w:r>
      <w:r w:rsidR="00495A73" w:rsidRPr="00B54BF2">
        <w:fldChar w:fldCharType="end"/>
      </w:r>
      <w:r w:rsidR="00495A73" w:rsidRPr="00B54BF2">
        <w:t xml:space="preserve"> </w:t>
      </w:r>
      <w:r w:rsidR="00495A73" w:rsidRPr="00B54BF2">
        <w:fldChar w:fldCharType="begin"/>
      </w:r>
      <w:r w:rsidR="00622AF5">
        <w:instrText xml:space="preserve"> ADDIN EN.CITE &lt;EndNote&gt;&lt;Cite&gt;&lt;Author&gt;Haghighat&lt;/Author&gt;&lt;Year&gt;2004&lt;/Year&gt;&lt;RecNum&gt;6&lt;/RecNum&gt;&lt;DisplayText&gt;&lt;style face="superscript"&gt;9&lt;/style&gt;&lt;/DisplayText&gt;&lt;record&gt;&lt;rec-number&gt;6&lt;/rec-number&gt;&lt;foreign-keys&gt;&lt;key app="EN" db-id="v2x05fr5xze0tkez0psxzdxyvvstv22t5s5e"&gt;6&lt;/key&gt;&lt;/foreign-keys&gt;&lt;ref-type name="Journal Article"&gt;17&lt;/ref-type&gt;&lt;contributors&gt;&lt;authors&gt;&lt;author&gt;Haghighat, F.&lt;/author&gt;&lt;author&gt;Li, H.&lt;/author&gt;&lt;/authors&gt;&lt;/contributors&gt;&lt;titles&gt;&lt;title&gt;Building airflow movement - validation of three air flow models&lt;/title&gt;&lt;secondary-title&gt;Journal of Architectural and Planning Research&lt;/secondary-title&gt;&lt;/titles&gt;&lt;periodical&gt;&lt;full-title&gt;Journal of Architectural and Planning Research&lt;/full-title&gt;&lt;/periodical&gt;&lt;pages&gt;331-349&lt;/pages&gt;&lt;volume&gt;21&lt;/volume&gt;&lt;dates&gt;&lt;year&gt;2004&lt;/year&gt;&lt;/dates&gt;&lt;urls&gt;&lt;/urls&gt;&lt;/record&gt;&lt;/Cite&gt;&lt;/EndNote&gt;</w:instrText>
      </w:r>
      <w:r w:rsidR="00495A73" w:rsidRPr="00B54BF2">
        <w:fldChar w:fldCharType="separate"/>
      </w:r>
      <w:r w:rsidR="00622AF5" w:rsidRPr="00622AF5">
        <w:rPr>
          <w:noProof/>
          <w:vertAlign w:val="superscript"/>
        </w:rPr>
        <w:t>9</w:t>
      </w:r>
      <w:r w:rsidR="00495A73" w:rsidRPr="00B54BF2">
        <w:fldChar w:fldCharType="end"/>
      </w:r>
      <w:r w:rsidR="00495A73" w:rsidRPr="00B54BF2">
        <w:t xml:space="preserve"> </w:t>
      </w:r>
      <w:r w:rsidR="00495A73" w:rsidRPr="00B54BF2">
        <w:fldChar w:fldCharType="begin"/>
      </w:r>
      <w:r w:rsidR="00622AF5">
        <w:instrText xml:space="preserve"> ADDIN EN.CITE &lt;EndNote&gt;&lt;Cite&gt;&lt;Author&gt;Walton&lt;/Author&gt;&lt;Year&gt;2006&lt;/Year&gt;&lt;RecNum&gt;7&lt;/RecNum&gt;&lt;DisplayText&gt;&lt;style face="superscript"&gt;10&lt;/style&gt;&lt;/DisplayText&gt;&lt;record&gt;&lt;rec-number&gt;7&lt;/rec-number&gt;&lt;foreign-keys&gt;&lt;key app="EN" db-id="v2x05fr5xze0tkez0psxzdxyvvstv22t5s5e"&gt;7&lt;/key&gt;&lt;/foreign-keys&gt;&lt;ref-type name="Report"&gt;27&lt;/ref-type&gt;&lt;contributors&gt;&lt;authors&gt;&lt;author&gt;Walton, G.N.&lt;/author&gt;&lt;author&gt;Dols, W.S.&lt;/author&gt;&lt;/authors&gt;&lt;/contributors&gt;&lt;titles&gt;&lt;title&gt;CONTAM 2.4c User Guide and Program Documentation. NISTIR 7251&lt;/title&gt;&lt;/titles&gt;&lt;dates&gt;&lt;year&gt;2006&lt;/year&gt;&lt;/dates&gt;&lt;pub-location&gt;Gaithersburg, MD, USA&lt;/pub-location&gt;&lt;publisher&gt;National Institute of Standards and Technology&lt;/publisher&gt;&lt;urls&gt;&lt;/urls&gt;&lt;/record&gt;&lt;/Cite&gt;&lt;/EndNote&gt;</w:instrText>
      </w:r>
      <w:r w:rsidR="00495A73" w:rsidRPr="00B54BF2">
        <w:fldChar w:fldCharType="separate"/>
      </w:r>
      <w:r w:rsidR="00622AF5" w:rsidRPr="00622AF5">
        <w:rPr>
          <w:noProof/>
          <w:vertAlign w:val="superscript"/>
        </w:rPr>
        <w:t>10</w:t>
      </w:r>
      <w:r w:rsidR="00495A73" w:rsidRPr="00B54BF2">
        <w:fldChar w:fldCharType="end"/>
      </w:r>
      <w:r w:rsidRPr="00B54BF2">
        <w:t xml:space="preserve"> was used to estimate average indoor levels of </w:t>
      </w:r>
      <w:r w:rsidR="00060774" w:rsidRPr="0052304F">
        <w:t>particles of maximum aerodynamic diameter of 2.5 µm (PM</w:t>
      </w:r>
      <w:r w:rsidR="00060774" w:rsidRPr="0052304F">
        <w:rPr>
          <w:vertAlign w:val="subscript"/>
        </w:rPr>
        <w:t>2.5</w:t>
      </w:r>
      <w:r w:rsidR="00060774" w:rsidRPr="0052304F">
        <w:t xml:space="preserve">) derived from </w:t>
      </w:r>
      <w:r w:rsidR="00060774" w:rsidRPr="0052304F">
        <w:rPr>
          <w:i/>
        </w:rPr>
        <w:t>outdoor</w:t>
      </w:r>
      <w:r w:rsidR="00060774" w:rsidRPr="0052304F">
        <w:t xml:space="preserve"> sources, PM</w:t>
      </w:r>
      <w:r w:rsidR="00060774" w:rsidRPr="0052304F">
        <w:rPr>
          <w:vertAlign w:val="subscript"/>
        </w:rPr>
        <w:t>2.5</w:t>
      </w:r>
      <w:r w:rsidR="00060774" w:rsidRPr="0052304F">
        <w:t xml:space="preserve"> derived from </w:t>
      </w:r>
      <w:r w:rsidR="00060774" w:rsidRPr="0052304F">
        <w:rPr>
          <w:i/>
        </w:rPr>
        <w:t>indoor</w:t>
      </w:r>
      <w:r w:rsidR="00060774" w:rsidRPr="0052304F">
        <w:t xml:space="preserve"> sources, environmental tobacco smoke, and radon</w:t>
      </w:r>
      <w:r w:rsidRPr="00B54BF2">
        <w:t xml:space="preserve">. </w:t>
      </w:r>
      <w:r w:rsidR="00485887" w:rsidRPr="00B54BF2">
        <w:t xml:space="preserve">Indoor source emission rates were based </w:t>
      </w:r>
      <w:r w:rsidR="00060548" w:rsidRPr="00B54BF2">
        <w:t>on published</w:t>
      </w:r>
      <w:r w:rsidR="003D5610" w:rsidRPr="00B54BF2">
        <w:t xml:space="preserve"> estimates</w:t>
      </w:r>
      <w:r w:rsidR="00495A73" w:rsidRPr="00B54BF2">
        <w:fldChar w:fldCharType="begin"/>
      </w:r>
      <w:r w:rsidR="00622AF5">
        <w:instrText xml:space="preserve"> ADDIN EN.CITE &lt;EndNote&gt;&lt;Cite&gt;&lt;Author&gt;Fang&lt;/Author&gt;&lt;Year&gt;1995&lt;/Year&gt;&lt;RecNum&gt;8&lt;/RecNum&gt;&lt;DisplayText&gt;&lt;style face="superscript"&gt;11&lt;/style&gt;&lt;/DisplayText&gt;&lt;record&gt;&lt;rec-number&gt;8&lt;/rec-number&gt;&lt;foreign-keys&gt;&lt;key app="EN" db-id="v2x05fr5xze0tkez0psxzdxyvvstv22t5s5e"&gt;8&lt;/key&gt;&lt;/foreign-keys&gt;&lt;ref-type name="Report"&gt;27&lt;/ref-type&gt;&lt;contributors&gt;&lt;authors&gt;&lt;author&gt;Fang, J.&lt;/author&gt;&lt;author&gt;Persily, A.&lt;/author&gt;&lt;/authors&gt;&lt;/contributors&gt;&lt;titles&gt;&lt;title&gt;Computer smulations of airflow and radon transport in four large buildings&lt;/title&gt;&lt;/titles&gt;&lt;dates&gt;&lt;year&gt;1995&lt;/year&gt;&lt;/dates&gt;&lt;pub-location&gt;Gaithersburg, MD, USA&lt;/pub-location&gt;&lt;publisher&gt;National Institute of Standards and Technology&lt;/publisher&gt;&lt;urls&gt;&lt;/urls&gt;&lt;/record&gt;&lt;/Cite&gt;&lt;/EndNote&gt;</w:instrText>
      </w:r>
      <w:r w:rsidR="00495A73" w:rsidRPr="00B54BF2">
        <w:fldChar w:fldCharType="separate"/>
      </w:r>
      <w:r w:rsidR="00622AF5" w:rsidRPr="00622AF5">
        <w:rPr>
          <w:noProof/>
          <w:vertAlign w:val="superscript"/>
        </w:rPr>
        <w:t>11</w:t>
      </w:r>
      <w:r w:rsidR="00495A73" w:rsidRPr="00B54BF2">
        <w:fldChar w:fldCharType="end"/>
      </w:r>
      <w:r w:rsidR="00495A73" w:rsidRPr="00B54BF2">
        <w:t xml:space="preserve"> </w:t>
      </w:r>
      <w:r w:rsidR="00495A73" w:rsidRPr="00B54BF2">
        <w:fldChar w:fldCharType="begin"/>
      </w:r>
      <w:r w:rsidR="00622AF5">
        <w:instrText xml:space="preserve"> ADDIN EN.CITE &lt;EndNote&gt;&lt;Cite&gt;&lt;Author&gt;Ozkaynak&lt;/Author&gt;&lt;Year&gt;1996&lt;/Year&gt;&lt;RecNum&gt;9&lt;/RecNum&gt;&lt;DisplayText&gt;&lt;style face="superscript"&gt;12&lt;/style&gt;&lt;/DisplayText&gt;&lt;record&gt;&lt;rec-number&gt;9&lt;/rec-number&gt;&lt;foreign-keys&gt;&lt;key app="EN" db-id="v2x05fr5xze0tkez0psxzdxyvvstv22t5s5e"&gt;9&lt;/key&gt;&lt;/foreign-keys&gt;&lt;ref-type name="Journal Article"&gt;17&lt;/ref-type&gt;&lt;contributors&gt;&lt;authors&gt;&lt;author&gt;Ozkaynak, H.&lt;/author&gt;&lt;author&gt;Xue, J.&lt;/author&gt;&lt;author&gt;Spengler, J.&lt;/author&gt;&lt;author&gt;Wallace, L.&lt;/author&gt;&lt;author&gt;Pellizzari, E.&lt;/author&gt;&lt;author&gt;Jenkins, P.&lt;/author&gt;&lt;/authors&gt;&lt;/contributors&gt;&lt;auth-address&gt;Department of Environmental Health, Environmental Science and Engineering Program, Harvard University School of Public Health, Boston, MA 02115, USA.&lt;/auth-address&gt;&lt;titles&gt;&lt;title&gt;Personal exposure to airborne particles and metals: results from the Particle TEAM study in Riverside, California&lt;/title&gt;&lt;secondary-title&gt;Journal of Exposure Analysis and Environmental Epidemiology&lt;/secondary-title&gt;&lt;/titles&gt;&lt;periodical&gt;&lt;full-title&gt;J Expo Anal Environ Epidemiol&lt;/full-title&gt;&lt;abbr-1&gt;Journal of exposure analysis and environmental epidemiology&lt;/abbr-1&gt;&lt;/periodical&gt;&lt;pages&gt;57-78&lt;/pages&gt;&lt;volume&gt;6&lt;/volume&gt;&lt;number&gt;1&lt;/number&gt;&lt;edition&gt;1996/01/01&lt;/edition&gt;&lt;keywords&gt;&lt;keyword&gt;Adolescent&lt;/keyword&gt;&lt;keyword&gt;Adult&lt;/keyword&gt;&lt;keyword&gt;Aged&lt;/keyword&gt;&lt;keyword&gt;Air Pollution/*analysis&lt;/keyword&gt;&lt;keyword&gt;Air Pollution, Indoor/analysis&lt;/keyword&gt;&lt;keyword&gt;California&lt;/keyword&gt;&lt;keyword&gt;Child&lt;/keyword&gt;&lt;keyword&gt;Dust/*analysis&lt;/keyword&gt;&lt;keyword&gt;*Environmental Monitoring&lt;/keyword&gt;&lt;keyword&gt;Humans&lt;/keyword&gt;&lt;keyword&gt;Linear Models&lt;/keyword&gt;&lt;keyword&gt;Metals/*analysis&lt;/keyword&gt;&lt;keyword&gt;Middle Aged&lt;/keyword&gt;&lt;keyword&gt;Particle Size&lt;/keyword&gt;&lt;keyword&gt;Tobacco Smoke Pollution/analysis&lt;/keyword&gt;&lt;/keywords&gt;&lt;dates&gt;&lt;year&gt;1996&lt;/year&gt;&lt;pub-dates&gt;&lt;date&gt;Jan-Mar&lt;/date&gt;&lt;/pub-dates&gt;&lt;/dates&gt;&lt;isbn&gt;1053-4245 (Print)&amp;#xD;1053-4245&lt;/isbn&gt;&lt;accession-num&gt;8777374&lt;/accession-num&gt;&lt;urls&gt;&lt;/urls&gt;&lt;remote-database-provider&gt;NLM&lt;/remote-database-provider&gt;&lt;language&gt;eng&lt;/language&gt;&lt;/record&gt;&lt;/Cite&gt;&lt;/EndNote&gt;</w:instrText>
      </w:r>
      <w:r w:rsidR="00495A73" w:rsidRPr="00B54BF2">
        <w:fldChar w:fldCharType="separate"/>
      </w:r>
      <w:r w:rsidR="00622AF5" w:rsidRPr="00622AF5">
        <w:rPr>
          <w:noProof/>
          <w:vertAlign w:val="superscript"/>
        </w:rPr>
        <w:t>12</w:t>
      </w:r>
      <w:r w:rsidR="00495A73" w:rsidRPr="00B54BF2">
        <w:fldChar w:fldCharType="end"/>
      </w:r>
      <w:r w:rsidR="00485887" w:rsidRPr="00B54BF2">
        <w:t xml:space="preserve"> </w:t>
      </w:r>
      <w:r w:rsidR="003D5610" w:rsidRPr="00B54BF2">
        <w:t>and a mean ambient PM</w:t>
      </w:r>
      <w:r w:rsidR="003D5610" w:rsidRPr="00B54BF2">
        <w:rPr>
          <w:vertAlign w:val="subscript"/>
        </w:rPr>
        <w:t>2.5</w:t>
      </w:r>
      <w:r w:rsidR="003D5610" w:rsidRPr="00B54BF2">
        <w:t xml:space="preserve"> concentration of 13 µg</w:t>
      </w:r>
      <w:r w:rsidR="00BA48C0">
        <w:t xml:space="preserve"> </w:t>
      </w:r>
      <w:r w:rsidR="00BA48C0" w:rsidRPr="00B54BF2">
        <w:t>m</w:t>
      </w:r>
      <w:r w:rsidR="00BA48C0">
        <w:rPr>
          <w:vertAlign w:val="superscript"/>
        </w:rPr>
        <w:t>-3</w:t>
      </w:r>
      <w:r w:rsidR="00BA48C0" w:rsidRPr="00B54BF2">
        <w:t xml:space="preserve"> </w:t>
      </w:r>
      <w:r w:rsidR="003D5610" w:rsidRPr="00B54BF2">
        <w:t>was used</w:t>
      </w:r>
      <w:r w:rsidR="00387630" w:rsidRPr="00B54BF2">
        <w:t xml:space="preserve"> to represent an urban area</w:t>
      </w:r>
      <w:r w:rsidR="003D5610" w:rsidRPr="00B54BF2">
        <w:t xml:space="preserve">, based on </w:t>
      </w:r>
      <w:r w:rsidR="00387630" w:rsidRPr="00B54BF2">
        <w:t xml:space="preserve">data from </w:t>
      </w:r>
      <w:r w:rsidR="00295CB8">
        <w:t xml:space="preserve">the </w:t>
      </w:r>
      <w:r w:rsidR="00387630" w:rsidRPr="00B54BF2">
        <w:t>Automatic Urban and Rural Network (AURN) and the London Air Quality Network</w:t>
      </w:r>
      <w:r w:rsidR="00BD6AFB">
        <w:t xml:space="preserve"> (LAQN)</w:t>
      </w:r>
      <w:r w:rsidR="00495A73" w:rsidRPr="00B54BF2">
        <w:t>.</w:t>
      </w:r>
      <w:r w:rsidR="00495A73" w:rsidRPr="00B54BF2">
        <w:fldChar w:fldCharType="begin"/>
      </w:r>
      <w:r w:rsidR="00622AF5">
        <w:instrText xml:space="preserve"> ADDIN EN.CITE &lt;EndNote&gt;&lt;Cite&gt;&lt;Author&gt;LAQN&lt;/Author&gt;&lt;Year&gt;2010&lt;/Year&gt;&lt;RecNum&gt;10&lt;/RecNum&gt;&lt;DisplayText&gt;&lt;style face="superscript"&gt;13&lt;/style&gt;&lt;/DisplayText&gt;&lt;record&gt;&lt;rec-number&gt;10&lt;/rec-number&gt;&lt;foreign-keys&gt;&lt;key app="EN" db-id="v2x05fr5xze0tkez0psxzdxyvvstv22t5s5e"&gt;10&lt;/key&gt;&lt;/foreign-keys&gt;&lt;ref-type name="Web Page"&gt;12&lt;/ref-type&gt;&lt;contributors&gt;&lt;authors&gt;&lt;author&gt;LAQN&lt;/author&gt;&lt;/authors&gt;&lt;/contributors&gt;&lt;titles&gt;&lt;title&gt;London Air Quality Network. Available at: http://www.londonair.org.uk/london/asp/datadownload.asp&lt;/title&gt;&lt;/titles&gt;&lt;dates&gt;&lt;year&gt;2010&lt;/year&gt;&lt;/dates&gt;&lt;urls&gt;&lt;/urls&gt;&lt;/record&gt;&lt;/Cite&gt;&lt;/EndNote&gt;</w:instrText>
      </w:r>
      <w:r w:rsidR="00495A73" w:rsidRPr="00B54BF2">
        <w:fldChar w:fldCharType="separate"/>
      </w:r>
      <w:r w:rsidR="00622AF5" w:rsidRPr="00622AF5">
        <w:rPr>
          <w:noProof/>
          <w:vertAlign w:val="superscript"/>
        </w:rPr>
        <w:t>13</w:t>
      </w:r>
      <w:r w:rsidR="00495A73" w:rsidRPr="00B54BF2">
        <w:fldChar w:fldCharType="end"/>
      </w:r>
      <w:r w:rsidR="003D5610" w:rsidRPr="00B54BF2">
        <w:t xml:space="preserve"> </w:t>
      </w:r>
      <w:r w:rsidR="00485887" w:rsidRPr="00B54BF2">
        <w:t xml:space="preserve">Fabric infiltration was modelled via two openings (cracks) in each wall. </w:t>
      </w:r>
      <w:r w:rsidRPr="00B54BF2">
        <w:t>Operational characteristics of extrac</w:t>
      </w:r>
      <w:r w:rsidR="008C3D2F" w:rsidRPr="00B54BF2">
        <w:t>t fans and trickle vent</w:t>
      </w:r>
      <w:r w:rsidR="00485887" w:rsidRPr="00B54BF2">
        <w:t xml:space="preserve">s </w:t>
      </w:r>
      <w:r w:rsidRPr="00B54BF2">
        <w:t>were matched to UK industry norms to comply with minimum whole house ventilation rates required by Approved Document F</w:t>
      </w:r>
      <w:r w:rsidR="008C3D2F" w:rsidRPr="00B54BF2">
        <w:t xml:space="preserve"> </w:t>
      </w:r>
      <w:r w:rsidRPr="00B54BF2">
        <w:t>(</w:t>
      </w:r>
      <w:r w:rsidR="001E323B" w:rsidRPr="00B54BF2">
        <w:t>HM Government, 2010</w:t>
      </w:r>
      <w:r w:rsidR="00485887" w:rsidRPr="00B54BF2">
        <w:t>)</w:t>
      </w:r>
      <w:r w:rsidR="008C3D2F" w:rsidRPr="00B54BF2">
        <w:t>.</w:t>
      </w:r>
      <w:r w:rsidR="00495A73" w:rsidRPr="00B54BF2">
        <w:fldChar w:fldCharType="begin"/>
      </w:r>
      <w:r w:rsidR="00622AF5">
        <w:instrText xml:space="preserve"> ADDIN EN.CITE &lt;EndNote&gt;&lt;Cite&gt;&lt;Author&gt;DCLG&lt;/Author&gt;&lt;Year&gt;2010&lt;/Year&gt;&lt;RecNum&gt;11&lt;/RecNum&gt;&lt;DisplayText&gt;&lt;style face="superscript"&gt;14&lt;/style&gt;&lt;/DisplayText&gt;&lt;record&gt;&lt;rec-number&gt;11&lt;/rec-number&gt;&lt;foreign-keys&gt;&lt;key app="EN" db-id="v2x05fr5xze0tkez0psxzdxyvvstv22t5s5e"&gt;11&lt;/key&gt;&lt;/foreign-keys&gt;&lt;ref-type name="Report"&gt;27&lt;/ref-type&gt;&lt;contributors&gt;&lt;authors&gt;&lt;author&gt;DCLG&lt;/author&gt;&lt;/authors&gt;&lt;/contributors&gt;&lt;titles&gt;&lt;title&gt;Approved Document F: Ventilation (2010 Ed)&lt;/title&gt;&lt;/titles&gt;&lt;dates&gt;&lt;year&gt;2010&lt;/year&gt;&lt;/dates&gt;&lt;pub-location&gt;London, UK&lt;/pub-location&gt;&lt;publisher&gt;The Stationery Office&lt;/publisher&gt;&lt;urls&gt;&lt;/urls&gt;&lt;/record&gt;&lt;/Cite&gt;&lt;/EndNote&gt;</w:instrText>
      </w:r>
      <w:r w:rsidR="00495A73" w:rsidRPr="00B54BF2">
        <w:fldChar w:fldCharType="separate"/>
      </w:r>
      <w:r w:rsidR="00622AF5" w:rsidRPr="00622AF5">
        <w:rPr>
          <w:noProof/>
          <w:vertAlign w:val="superscript"/>
        </w:rPr>
        <w:t>14</w:t>
      </w:r>
      <w:r w:rsidR="00495A73" w:rsidRPr="00B54BF2">
        <w:fldChar w:fldCharType="end"/>
      </w:r>
      <w:r w:rsidR="00485887" w:rsidRPr="00B54BF2">
        <w:t xml:space="preserve"> </w:t>
      </w:r>
      <w:r w:rsidR="00114CCB" w:rsidRPr="00B54BF2">
        <w:t xml:space="preserve">Model inputs for </w:t>
      </w:r>
      <w:r w:rsidR="00B54333" w:rsidRPr="00B54BF2">
        <w:t>radon and PM</w:t>
      </w:r>
      <w:r w:rsidR="00B54333" w:rsidRPr="00B54BF2">
        <w:rPr>
          <w:vertAlign w:val="subscript"/>
        </w:rPr>
        <w:t>2.5</w:t>
      </w:r>
      <w:r w:rsidR="00114CCB" w:rsidRPr="00B54BF2">
        <w:t xml:space="preserve"> </w:t>
      </w:r>
      <w:r w:rsidRPr="00B54BF2">
        <w:t xml:space="preserve">are </w:t>
      </w:r>
      <w:r w:rsidR="00114CCB" w:rsidRPr="00B54BF2">
        <w:t xml:space="preserve">described </w:t>
      </w:r>
      <w:r w:rsidRPr="00B54BF2">
        <w:t xml:space="preserve">in greater detail </w:t>
      </w:r>
      <w:r w:rsidR="00114CCB" w:rsidRPr="00B54BF2">
        <w:t>elsewhere</w:t>
      </w:r>
      <w:r w:rsidR="00495A73" w:rsidRPr="00B54BF2">
        <w:t>.</w:t>
      </w:r>
      <w:r w:rsidR="00495A73" w:rsidRPr="00B54BF2">
        <w:fldChar w:fldCharType="begin"/>
      </w:r>
      <w:r w:rsidR="00622AF5">
        <w:instrText xml:space="preserve"> ADDIN EN.CITE &lt;EndNote&gt;&lt;Cite&gt;&lt;Author&gt;Milner&lt;/Author&gt;&lt;Year&gt;2014&lt;/Year&gt;&lt;RecNum&gt;2&lt;/RecNum&gt;&lt;DisplayText&gt;&lt;style face="superscript"&gt;4&lt;/style&gt;&lt;/DisplayText&gt;&lt;record&gt;&lt;rec-number&gt;2&lt;/rec-number&gt;&lt;foreign-keys&gt;&lt;key app="EN" db-id="v2x05fr5xze0tkez0psxzdxyvvstv22t5s5e"&gt;2&lt;/key&gt;&lt;/foreign-keys&gt;&lt;ref-type name="Journal Article"&gt;17&lt;/ref-type&gt;&lt;contributors&gt;&lt;authors&gt;&lt;author&gt;Milner, J.&lt;/author&gt;&lt;author&gt;Shrubsole, C.&lt;/author&gt;&lt;author&gt;Das, P.&lt;/author&gt;&lt;author&gt;Jones, B.&lt;/author&gt;&lt;author&gt;Ridley, I.&lt;/author&gt;&lt;author&gt;Chalabi, Z.&lt;/author&gt;&lt;author&gt;Hamilton, I.&lt;/author&gt;&lt;author&gt;Armstrong, B.&lt;/author&gt;&lt;author&gt;Davies, M.&lt;/author&gt;&lt;author&gt;Wilkinson, P.&lt;/author&gt;&lt;/authors&gt;&lt;/contributors&gt;&lt;auth-address&gt;Department of Social and Environmental Health Research, London School of Hygiene and Tropical Medicine, 15-17 Tavistock Place, London WC1H 9SH, UK.&lt;/auth-address&gt;&lt;titles&gt;&lt;title&gt;Home energy efficiency and radon related risk of lung cancer: modelling study&lt;/title&gt;&lt;secondary-title&gt;BMJ&lt;/secondary-title&gt;&lt;/titles&gt;&lt;periodical&gt;&lt;full-title&gt;Bmj&lt;/full-title&gt;&lt;abbr-1&gt;BMJ (Clinical research ed.)&lt;/abbr-1&gt;&lt;/periodical&gt;&lt;pages&gt;f7493&lt;/pages&gt;&lt;volume&gt;348&lt;/volume&gt;&lt;edition&gt;2014/01/15&lt;/edition&gt;&lt;keywords&gt;&lt;keyword&gt;Air Pollutants, Radioactive/*toxicity&lt;/keyword&gt;&lt;keyword&gt;Air Pollution, Indoor/*adverse effects&lt;/keyword&gt;&lt;keyword&gt;Carcinogens, Environmental/*toxicity&lt;/keyword&gt;&lt;keyword&gt;England/epidemiology&lt;/keyword&gt;&lt;keyword&gt;Government Programs&lt;/keyword&gt;&lt;keyword&gt;Housing/*standards&lt;/keyword&gt;&lt;keyword&gt;Humans&lt;/keyword&gt;&lt;keyword&gt;Lung Neoplasms/*mortality&lt;/keyword&gt;&lt;keyword&gt;Models, Theoretical&lt;/keyword&gt;&lt;keyword&gt;Neoplasms, Radiation-Induced/*mortality&lt;/keyword&gt;&lt;keyword&gt;Radon/*toxicity&lt;/keyword&gt;&lt;keyword&gt;Ventilation/standards&lt;/keyword&gt;&lt;/keywords&gt;&lt;dates&gt;&lt;year&gt;2014&lt;/year&gt;&lt;/dates&gt;&lt;isbn&gt;0959-535x&lt;/isbn&gt;&lt;accession-num&gt;24415631&lt;/accession-num&gt;&lt;urls&gt;&lt;/urls&gt;&lt;custom2&gt;Pmc3898159&lt;/custom2&gt;&lt;electronic-resource-num&gt;10.1136/bmj.f7493&lt;/electronic-resource-num&gt;&lt;remote-database-provider&gt;NLM&lt;/remote-database-provider&gt;&lt;language&gt;eng&lt;/language&gt;&lt;/record&gt;&lt;/Cite&gt;&lt;/EndNote&gt;</w:instrText>
      </w:r>
      <w:r w:rsidR="00495A73" w:rsidRPr="00B54BF2">
        <w:fldChar w:fldCharType="separate"/>
      </w:r>
      <w:r w:rsidR="00622AF5" w:rsidRPr="00622AF5">
        <w:rPr>
          <w:noProof/>
          <w:vertAlign w:val="superscript"/>
        </w:rPr>
        <w:t>4</w:t>
      </w:r>
      <w:r w:rsidR="00495A73" w:rsidRPr="00B54BF2">
        <w:fldChar w:fldCharType="end"/>
      </w:r>
      <w:r w:rsidR="00495A73" w:rsidRPr="00B54BF2">
        <w:t xml:space="preserve"> </w:t>
      </w:r>
      <w:r w:rsidR="00495A73" w:rsidRPr="00B54BF2">
        <w:fldChar w:fldCharType="begin"/>
      </w:r>
      <w:r w:rsidR="00622AF5">
        <w:instrText xml:space="preserve"> ADDIN EN.CITE &lt;EndNote&gt;&lt;Cite&gt;&lt;Author&gt;Shrubsole&lt;/Author&gt;&lt;Year&gt;2012&lt;/Year&gt;&lt;RecNum&gt;12&lt;/RecNum&gt;&lt;DisplayText&gt;&lt;style face="superscript"&gt;15&lt;/style&gt;&lt;/DisplayText&gt;&lt;record&gt;&lt;rec-number&gt;12&lt;/rec-number&gt;&lt;foreign-keys&gt;&lt;key app="EN" db-id="v2x05fr5xze0tkez0psxzdxyvvstv22t5s5e"&gt;12&lt;/key&gt;&lt;/foreign-keys&gt;&lt;ref-type name="Journal Article"&gt;17&lt;/ref-type&gt;&lt;contributors&gt;&lt;authors&gt;&lt;author&gt;Shrubsole, C.&lt;/author&gt;&lt;author&gt;Ridley, I.&lt;/author&gt;&lt;author&gt;Biddulph, P.&lt;/author&gt;&lt;author&gt;Milner, J.&lt;/author&gt;&lt;author&gt;Vardoulakis, S.&lt;/author&gt;&lt;author&gt;Ucci, M.&lt;/author&gt;&lt;author&gt;Wilkinson, P.&lt;/author&gt;&lt;author&gt;Chalabi, Z.&lt;/author&gt;&lt;author&gt;Davies, M.&lt;/author&gt;&lt;/authors&gt;&lt;/contributors&gt;&lt;titles&gt;&lt;title&gt;&lt;style face="normal" font="default" size="100%"&gt;Indoor PM&lt;/style&gt;&lt;style face="subscript" font="default" size="100%"&gt;2.5&lt;/style&gt;&lt;style face="normal" font="default" size="100%"&gt; exposure in London&amp;apos;s domestic stock: Modelling current and future exposures following energy efficient refurbishment&lt;/style&gt;&lt;/title&gt;&lt;secondary-title&gt;Atmospheric Environment&lt;/secondary-title&gt;&lt;/titles&gt;&lt;periodical&gt;&lt;full-title&gt;Atmospheric Environment&lt;/full-title&gt;&lt;/periodical&gt;&lt;pages&gt;336-343&lt;/pages&gt;&lt;volume&gt;62&lt;/volume&gt;&lt;number&gt;0&lt;/number&gt;&lt;keywords&gt;&lt;keyword&gt;PM2.5&lt;/keyword&gt;&lt;keyword&gt;Indoor&lt;/keyword&gt;&lt;keyword&gt;Dwelling&lt;/keyword&gt;&lt;keyword&gt;CONTAM&lt;/keyword&gt;&lt;keyword&gt;Exposure&lt;/keyword&gt;&lt;keyword&gt;Modelling&lt;/keyword&gt;&lt;/keywords&gt;&lt;dates&gt;&lt;year&gt;2012&lt;/year&gt;&lt;/dates&gt;&lt;isbn&gt;1352-2310&lt;/isbn&gt;&lt;urls&gt;&lt;related-urls&gt;&lt;url&gt;http://www.sciencedirect.com/science/article/pii/S135223101200828X&lt;/url&gt;&lt;/related-urls&gt;&lt;/urls&gt;&lt;electronic-resource-num&gt;http://dx.doi.org/10.1016/j.atmosenv.2012.08.047&lt;/electronic-resource-num&gt;&lt;/record&gt;&lt;/Cite&gt;&lt;/EndNote&gt;</w:instrText>
      </w:r>
      <w:r w:rsidR="00495A73" w:rsidRPr="00B54BF2">
        <w:fldChar w:fldCharType="separate"/>
      </w:r>
      <w:r w:rsidR="00622AF5" w:rsidRPr="00622AF5">
        <w:rPr>
          <w:noProof/>
          <w:vertAlign w:val="superscript"/>
        </w:rPr>
        <w:t>15</w:t>
      </w:r>
      <w:r w:rsidR="00495A73" w:rsidRPr="00B54BF2">
        <w:fldChar w:fldCharType="end"/>
      </w:r>
      <w:r w:rsidR="00485887" w:rsidRPr="00B54BF2">
        <w:t xml:space="preserve"> </w:t>
      </w:r>
      <w:r w:rsidR="00F140D8">
        <w:t xml:space="preserve">For radon, </w:t>
      </w:r>
      <w:r w:rsidR="00F140D8" w:rsidRPr="00F140D8">
        <w:t xml:space="preserve">separate models for low, medium, and high radon exposure areas </w:t>
      </w:r>
      <w:r w:rsidR="00F140D8">
        <w:t xml:space="preserve">were constructed </w:t>
      </w:r>
      <w:r w:rsidR="00F140D8" w:rsidRPr="00F140D8">
        <w:t>by multiplying the modelled exposures by factors determined by calibration against observed data</w:t>
      </w:r>
      <w:r w:rsidR="00F140D8">
        <w:t>.</w:t>
      </w:r>
      <w:r w:rsidR="00F140D8" w:rsidRPr="00F140D8">
        <w:t xml:space="preserve"> </w:t>
      </w:r>
      <w:r w:rsidR="00037B5E">
        <w:t>For PM</w:t>
      </w:r>
      <w:r w:rsidR="00037B5E" w:rsidRPr="00037B5E">
        <w:rPr>
          <w:vertAlign w:val="subscript"/>
        </w:rPr>
        <w:t>2.5</w:t>
      </w:r>
      <w:r w:rsidR="00037B5E">
        <w:t xml:space="preserve">, a range of illustrative annual average outdoor concentrations were modelled to </w:t>
      </w:r>
      <w:r w:rsidR="00CF46A0">
        <w:t xml:space="preserve">represent houses in </w:t>
      </w:r>
      <w:r w:rsidR="00037B5E">
        <w:t>locations</w:t>
      </w:r>
      <w:r w:rsidR="00CF46A0">
        <w:t xml:space="preserve"> with different levels of ambient air pollution</w:t>
      </w:r>
      <w:r w:rsidR="00037B5E">
        <w:t xml:space="preserve">. </w:t>
      </w:r>
      <w:r w:rsidR="00485887" w:rsidRPr="00B54BF2">
        <w:t xml:space="preserve">For environmental tobacco smoke, </w:t>
      </w:r>
      <w:r w:rsidR="009A2A02" w:rsidRPr="00B54BF2">
        <w:t xml:space="preserve">indoor levels </w:t>
      </w:r>
      <w:r w:rsidR="00FC2630" w:rsidRPr="00B54BF2">
        <w:t>were</w:t>
      </w:r>
      <w:r w:rsidR="009A2A02" w:rsidRPr="00B54BF2">
        <w:t xml:space="preserve"> normalised to give a mean exposure of 1 across the housing stock (full stock model not presented here).</w:t>
      </w:r>
    </w:p>
    <w:p w14:paraId="79D8C2D7" w14:textId="77777777" w:rsidR="003713F0" w:rsidRPr="00B54BF2" w:rsidRDefault="003713F0" w:rsidP="0052304F">
      <w:pPr>
        <w:spacing w:line="480" w:lineRule="auto"/>
      </w:pPr>
    </w:p>
    <w:p w14:paraId="648AABBF" w14:textId="08119A32" w:rsidR="00CB522C" w:rsidRDefault="0040726C" w:rsidP="0052304F">
      <w:pPr>
        <w:spacing w:line="480" w:lineRule="auto"/>
      </w:pPr>
      <w:r w:rsidRPr="00B54BF2">
        <w:t>Models were constructed over a r</w:t>
      </w:r>
      <w:r w:rsidR="00B54333" w:rsidRPr="00B54BF2">
        <w:t xml:space="preserve">ange of permeabilities </w:t>
      </w:r>
      <w:r w:rsidR="00736FDA" w:rsidRPr="00B54BF2">
        <w:t xml:space="preserve">at selected intervals </w:t>
      </w:r>
      <w:r w:rsidR="00B54333" w:rsidRPr="00B54BF2">
        <w:t xml:space="preserve">from 3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B54333" w:rsidRPr="00B54BF2">
        <w:t xml:space="preserve"> (very air tight) to 40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B54333" w:rsidRPr="00B54BF2">
        <w:t xml:space="preserve"> (very ‘leaky’)</w:t>
      </w:r>
      <w:r w:rsidRPr="00B54BF2">
        <w:t xml:space="preserve"> and for four d</w:t>
      </w:r>
      <w:r w:rsidR="00B54333" w:rsidRPr="00B54BF2">
        <w:t xml:space="preserve">ifferent </w:t>
      </w:r>
      <w:r w:rsidR="00B54333" w:rsidRPr="00B54BF2">
        <w:lastRenderedPageBreak/>
        <w:t xml:space="preserve">ventilation </w:t>
      </w:r>
      <w:r w:rsidRPr="00B54BF2">
        <w:t>strategies</w:t>
      </w:r>
      <w:r w:rsidR="00B54333" w:rsidRPr="00B54BF2">
        <w:t xml:space="preserve"> (no purpose-provided ventilation, trickle vents, extract fans, trickle vents and extract fans)</w:t>
      </w:r>
      <w:r w:rsidRPr="00B54BF2">
        <w:t xml:space="preserve">. To obtain estimates over the full permeability range, </w:t>
      </w:r>
      <w:r w:rsidR="00B1392B">
        <w:t xml:space="preserve">polynomial </w:t>
      </w:r>
      <w:r w:rsidR="000F4C2A" w:rsidRPr="00B54BF2">
        <w:t>functions</w:t>
      </w:r>
      <w:r w:rsidR="00736FDA" w:rsidRPr="00B54BF2">
        <w:t xml:space="preserve"> were fitted </w:t>
      </w:r>
      <w:r w:rsidR="00B1392B">
        <w:t xml:space="preserve">to the results of the simulations </w:t>
      </w:r>
      <w:r w:rsidR="00736FDA" w:rsidRPr="00B54BF2">
        <w:t xml:space="preserve">for </w:t>
      </w:r>
      <w:r w:rsidR="00B1392B">
        <w:t xml:space="preserve">both the </w:t>
      </w:r>
      <w:r w:rsidR="00736FDA" w:rsidRPr="00B54BF2">
        <w:t>indoor-generated pollutants and outdoor-generated PM</w:t>
      </w:r>
      <w:r w:rsidR="00736FDA" w:rsidRPr="00B54BF2">
        <w:rPr>
          <w:vertAlign w:val="subscript"/>
        </w:rPr>
        <w:t>2.5</w:t>
      </w:r>
      <w:r w:rsidR="00736FDA" w:rsidRPr="00B54BF2">
        <w:t>. A s</w:t>
      </w:r>
      <w:r w:rsidR="000F4C2A" w:rsidRPr="00B54BF2">
        <w:t xml:space="preserve">tock-weighted average of </w:t>
      </w:r>
      <w:r w:rsidR="00485887" w:rsidRPr="00B54BF2">
        <w:t xml:space="preserve">the </w:t>
      </w:r>
      <w:r w:rsidR="000F4C2A" w:rsidRPr="00B54BF2">
        <w:t>different ventilation types</w:t>
      </w:r>
      <w:r w:rsidR="009A2F43" w:rsidRPr="00B54BF2">
        <w:t xml:space="preserve"> </w:t>
      </w:r>
      <w:r w:rsidR="00D1060C" w:rsidRPr="00B54BF2">
        <w:t xml:space="preserve">for each pollutant </w:t>
      </w:r>
      <w:r w:rsidR="00736FDA" w:rsidRPr="00B54BF2">
        <w:t>was calculated based on data from the 2010 English Housing</w:t>
      </w:r>
      <w:r w:rsidR="00922168" w:rsidRPr="00B54BF2">
        <w:t xml:space="preserve"> Survey</w:t>
      </w:r>
      <w:r w:rsidR="00495A73" w:rsidRPr="00B54BF2">
        <w:t>.</w:t>
      </w:r>
      <w:r w:rsidR="00495A73" w:rsidRPr="00B54BF2">
        <w:fldChar w:fldCharType="begin"/>
      </w:r>
      <w:r w:rsidR="00622AF5">
        <w:instrText xml:space="preserve"> ADDIN EN.CITE &lt;EndNote&gt;&lt;Cite&gt;&lt;Author&gt;DCLG&lt;/Author&gt;&lt;Year&gt;2012&lt;/Year&gt;&lt;RecNum&gt;13&lt;/RecNum&gt;&lt;DisplayText&gt;&lt;style face="superscript"&gt;16&lt;/style&gt;&lt;/DisplayText&gt;&lt;record&gt;&lt;rec-number&gt;13&lt;/rec-number&gt;&lt;foreign-keys&gt;&lt;key app="EN" db-id="v2x05fr5xze0tkez0psxzdxyvvstv22t5s5e"&gt;13&lt;/key&gt;&lt;/foreign-keys&gt;&lt;ref-type name="Report"&gt;27&lt;/ref-type&gt;&lt;contributors&gt;&lt;authors&gt;&lt;author&gt;DCLG&lt;/author&gt;&lt;/authors&gt;&lt;/contributors&gt;&lt;titles&gt;&lt;title&gt;English Housing Survey. Household Report 2010-2011&lt;/title&gt;&lt;/titles&gt;&lt;dates&gt;&lt;year&gt;2012&lt;/year&gt;&lt;/dates&gt;&lt;pub-location&gt;London, UK&lt;/pub-location&gt;&lt;publisher&gt;Department for Communities and Local Government&lt;/publisher&gt;&lt;urls&gt;&lt;/urls&gt;&lt;/record&gt;&lt;/Cite&gt;&lt;/EndNote&gt;</w:instrText>
      </w:r>
      <w:r w:rsidR="00495A73" w:rsidRPr="00B54BF2">
        <w:fldChar w:fldCharType="separate"/>
      </w:r>
      <w:r w:rsidR="00622AF5" w:rsidRPr="00622AF5">
        <w:rPr>
          <w:noProof/>
          <w:vertAlign w:val="superscript"/>
        </w:rPr>
        <w:t>16</w:t>
      </w:r>
      <w:r w:rsidR="00495A73" w:rsidRPr="00B54BF2">
        <w:fldChar w:fldCharType="end"/>
      </w:r>
    </w:p>
    <w:p w14:paraId="0BB7B8D4" w14:textId="77777777" w:rsidR="003713F0" w:rsidRPr="00B54BF2" w:rsidRDefault="003713F0" w:rsidP="0052304F">
      <w:pPr>
        <w:spacing w:line="480" w:lineRule="auto"/>
      </w:pPr>
    </w:p>
    <w:p w14:paraId="36EBAB1C" w14:textId="2AA3641C" w:rsidR="008507DC" w:rsidRPr="0094384E" w:rsidRDefault="003713F0" w:rsidP="0052304F">
      <w:pPr>
        <w:spacing w:line="480" w:lineRule="auto"/>
        <w:rPr>
          <w:b/>
        </w:rPr>
      </w:pPr>
      <w:r w:rsidRPr="0094384E">
        <w:rPr>
          <w:b/>
        </w:rPr>
        <w:t xml:space="preserve">2.2 </w:t>
      </w:r>
      <w:r w:rsidR="008507DC" w:rsidRPr="0094384E">
        <w:rPr>
          <w:b/>
        </w:rPr>
        <w:t>Energy use and CO</w:t>
      </w:r>
      <w:r w:rsidR="008507DC" w:rsidRPr="0094384E">
        <w:rPr>
          <w:b/>
          <w:vertAlign w:val="subscript"/>
        </w:rPr>
        <w:t>2</w:t>
      </w:r>
      <w:r w:rsidR="008507DC" w:rsidRPr="0094384E">
        <w:rPr>
          <w:b/>
        </w:rPr>
        <w:t xml:space="preserve"> emissions</w:t>
      </w:r>
    </w:p>
    <w:p w14:paraId="35989C22" w14:textId="77777777" w:rsidR="003713F0" w:rsidRDefault="003713F0" w:rsidP="0052304F">
      <w:pPr>
        <w:spacing w:line="480" w:lineRule="auto"/>
      </w:pPr>
    </w:p>
    <w:p w14:paraId="0A101A28" w14:textId="26552883" w:rsidR="00134D47" w:rsidRDefault="00922168" w:rsidP="0052304F">
      <w:pPr>
        <w:spacing w:line="480" w:lineRule="auto"/>
      </w:pPr>
      <w:r w:rsidRPr="00B54BF2">
        <w:t>S</w:t>
      </w:r>
      <w:r w:rsidR="00543F4D" w:rsidRPr="00B54BF2">
        <w:t xml:space="preserve">pace heating demand due to ventilation heat losses </w:t>
      </w:r>
      <w:r w:rsidRPr="00B54BF2">
        <w:t xml:space="preserve">for the detached house </w:t>
      </w:r>
      <w:r w:rsidR="00543F4D" w:rsidRPr="00B54BF2">
        <w:t>was estimated over the range of permeabilities using the standard degree-hour method assuming a heating efficiency of 77%</w:t>
      </w:r>
      <w:r w:rsidR="00495A73" w:rsidRPr="00B54BF2">
        <w:t>.</w:t>
      </w:r>
      <w:r w:rsidR="00495A73" w:rsidRPr="00B54BF2">
        <w:fldChar w:fldCharType="begin"/>
      </w:r>
      <w:r w:rsidR="00622AF5">
        <w:instrText xml:space="preserve"> ADDIN EN.CITE &lt;EndNote&gt;&lt;Cite&gt;&lt;Author&gt;ASHRAE&lt;/Author&gt;&lt;Year&gt;2009&lt;/Year&gt;&lt;RecNum&gt;14&lt;/RecNum&gt;&lt;DisplayText&gt;&lt;style face="superscript"&gt;17-19&lt;/style&gt;&lt;/DisplayText&gt;&lt;record&gt;&lt;rec-number&gt;14&lt;/rec-number&gt;&lt;foreign-keys&gt;&lt;key app="EN" db-id="v2x05fr5xze0tkez0psxzdxyvvstv22t5s5e"&gt;14&lt;/key&gt;&lt;/foreign-keys&gt;&lt;ref-type name="Report"&gt;27&lt;/ref-type&gt;&lt;contributors&gt;&lt;authors&gt;&lt;author&gt;ASHRAE&lt;/author&gt;&lt;/authors&gt;&lt;/contributors&gt;&lt;titles&gt;&lt;title&gt;Fundamentals&lt;/title&gt;&lt;/titles&gt;&lt;dates&gt;&lt;year&gt;2009&lt;/year&gt;&lt;/dates&gt;&lt;pub-location&gt;Atlanta, GA, USA&lt;/pub-location&gt;&lt;publisher&gt;American Society of Heating, Refrigeration, and Air-Conditioning Engineers&lt;/publisher&gt;&lt;urls&gt;&lt;/urls&gt;&lt;/record&gt;&lt;/Cite&gt;&lt;Cite&gt;&lt;Author&gt;Kreider&lt;/Author&gt;&lt;Year&gt;1994&lt;/Year&gt;&lt;RecNum&gt;15&lt;/RecNum&gt;&lt;record&gt;&lt;rec-number&gt;15&lt;/rec-number&gt;&lt;foreign-keys&gt;&lt;key app="EN" db-id="v2x05fr5xze0tkez0psxzdxyvvstv22t5s5e"&gt;15&lt;/key&gt;&lt;/foreign-keys&gt;&lt;ref-type name="Book"&gt;6&lt;/ref-type&gt;&lt;contributors&gt;&lt;authors&gt;&lt;author&gt;Kreider, J.&lt;/author&gt;&lt;author&gt;Rabl, A.&lt;/author&gt;&lt;/authors&gt;&lt;/contributors&gt;&lt;titles&gt;&lt;title&gt;Heating and Cooling of Buildings (Design for Efficiency)&lt;/title&gt;&lt;/titles&gt;&lt;dates&gt;&lt;year&gt;1994&lt;/year&gt;&lt;/dates&gt;&lt;pub-location&gt;New York, NY, USA.&lt;/pub-location&gt;&lt;publisher&gt;McGraw-Hill&lt;/publisher&gt;&lt;urls&gt;&lt;/urls&gt;&lt;/record&gt;&lt;/Cite&gt;&lt;Cite&gt;&lt;Author&gt;Palmer&lt;/Author&gt;&lt;Year&gt;2011&lt;/Year&gt;&lt;RecNum&gt;16&lt;/RecNum&gt;&lt;record&gt;&lt;rec-number&gt;16&lt;/rec-number&gt;&lt;foreign-keys&gt;&lt;key app="EN" db-id="v2x05fr5xze0tkez0psxzdxyvvstv22t5s5e"&gt;16&lt;/key&gt;&lt;/foreign-keys&gt;&lt;ref-type name="Report"&gt;27&lt;/ref-type&gt;&lt;contributors&gt;&lt;authors&gt;&lt;author&gt;Palmer, J.&lt;/author&gt;&lt;author&gt;Cooper, I.&lt;/author&gt;&lt;/authors&gt;&lt;/contributors&gt;&lt;titles&gt;&lt;title&gt;Great Britain’s Housing Energy Fact File&lt;/title&gt;&lt;/titles&gt;&lt;dates&gt;&lt;year&gt;2011&lt;/year&gt;&lt;/dates&gt;&lt;pub-location&gt;London, UK&lt;/pub-location&gt;&lt;publisher&gt;Department for Energy and Climate Change&lt;/publisher&gt;&lt;urls&gt;&lt;/urls&gt;&lt;/record&gt;&lt;/Cite&gt;&lt;/EndNote&gt;</w:instrText>
      </w:r>
      <w:r w:rsidR="00495A73" w:rsidRPr="00B54BF2">
        <w:fldChar w:fldCharType="separate"/>
      </w:r>
      <w:r w:rsidR="00622AF5" w:rsidRPr="00622AF5">
        <w:rPr>
          <w:noProof/>
          <w:vertAlign w:val="superscript"/>
        </w:rPr>
        <w:t>17-19</w:t>
      </w:r>
      <w:r w:rsidR="00495A73" w:rsidRPr="00B54BF2">
        <w:fldChar w:fldCharType="end"/>
      </w:r>
      <w:r w:rsidR="00495A73" w:rsidRPr="00B54BF2">
        <w:t xml:space="preserve"> </w:t>
      </w:r>
      <w:r w:rsidR="00B1392B">
        <w:t>Separate p</w:t>
      </w:r>
      <w:r w:rsidR="00134D47" w:rsidRPr="00B54BF2">
        <w:t>olynomial functions</w:t>
      </w:r>
      <w:r w:rsidR="00543F4D" w:rsidRPr="00B54BF2">
        <w:t xml:space="preserve"> were fitted for each of the four ventilation strategies and a stock weighted average </w:t>
      </w:r>
      <w:r w:rsidR="00B1392B">
        <w:t xml:space="preserve">was </w:t>
      </w:r>
      <w:r w:rsidR="00543F4D" w:rsidRPr="00B54BF2">
        <w:t xml:space="preserve">calculated. The corresponding </w:t>
      </w:r>
      <w:r w:rsidR="00295CB8">
        <w:t>GHG</w:t>
      </w:r>
      <w:r w:rsidR="00543F4D" w:rsidRPr="00B54BF2">
        <w:t xml:space="preserve"> emissions </w:t>
      </w:r>
      <w:r w:rsidR="00224ADB" w:rsidRPr="00B54BF2">
        <w:t>(as carbon dioxide equivalent, CO</w:t>
      </w:r>
      <w:r w:rsidR="00224ADB" w:rsidRPr="00B54BF2">
        <w:rPr>
          <w:vertAlign w:val="subscript"/>
        </w:rPr>
        <w:t>2</w:t>
      </w:r>
      <w:r w:rsidR="00224ADB" w:rsidRPr="00B54BF2">
        <w:t xml:space="preserve">e) </w:t>
      </w:r>
      <w:r w:rsidR="00543F4D" w:rsidRPr="00B54BF2">
        <w:t xml:space="preserve">were estimated by multiplying the energy demand </w:t>
      </w:r>
      <w:r w:rsidR="00B0690F" w:rsidRPr="00B54BF2">
        <w:t xml:space="preserve">by </w:t>
      </w:r>
      <w:r w:rsidR="00543F4D" w:rsidRPr="00B54BF2">
        <w:t>the</w:t>
      </w:r>
      <w:r w:rsidR="00134D47" w:rsidRPr="00B54BF2">
        <w:t xml:space="preserve"> carbon intensity</w:t>
      </w:r>
      <w:r w:rsidR="00B0690F" w:rsidRPr="00B54BF2">
        <w:t xml:space="preserve"> </w:t>
      </w:r>
      <w:r w:rsidR="009E353E" w:rsidRPr="00B54BF2">
        <w:t>of</w:t>
      </w:r>
      <w:r w:rsidR="00543F4D" w:rsidRPr="00B54BF2">
        <w:t xml:space="preserve"> the UK’s energy supply </w:t>
      </w:r>
      <w:r w:rsidR="00B0690F" w:rsidRPr="00B54BF2">
        <w:t>(2</w:t>
      </w:r>
      <w:r w:rsidR="008E6E52" w:rsidRPr="00B54BF2">
        <w:t>4</w:t>
      </w:r>
      <w:r w:rsidR="00B0690F" w:rsidRPr="00B54BF2">
        <w:t>8</w:t>
      </w:r>
      <w:r w:rsidR="000D6CCE" w:rsidRPr="00B54BF2">
        <w:t>.8</w:t>
      </w:r>
      <w:r w:rsidR="00543F4D" w:rsidRPr="00B54BF2">
        <w:t xml:space="preserve"> g</w:t>
      </w:r>
      <w:r w:rsidR="00BA48C0">
        <w:t xml:space="preserve"> </w:t>
      </w:r>
      <w:r w:rsidR="00495A73" w:rsidRPr="00B54BF2">
        <w:t>kWh</w:t>
      </w:r>
      <w:r w:rsidR="00BA48C0" w:rsidRPr="00BA48C0">
        <w:rPr>
          <w:vertAlign w:val="superscript"/>
        </w:rPr>
        <w:t>-1</w:t>
      </w:r>
      <w:r w:rsidR="00495A73" w:rsidRPr="00B54BF2">
        <w:t>).</w:t>
      </w:r>
      <w:r w:rsidR="00495A73" w:rsidRPr="00B54BF2">
        <w:fldChar w:fldCharType="begin"/>
      </w:r>
      <w:r w:rsidR="00622AF5">
        <w:instrText xml:space="preserve"> ADDIN EN.CITE &lt;EndNote&gt;&lt;Cite&gt;&lt;Author&gt;DECC&lt;/Author&gt;&lt;Year&gt;2014&lt;/Year&gt;&lt;RecNum&gt;17&lt;/RecNum&gt;&lt;DisplayText&gt;&lt;style face="superscript"&gt;20&lt;/style&gt;&lt;/DisplayText&gt;&lt;record&gt;&lt;rec-number&gt;17&lt;/rec-number&gt;&lt;foreign-keys&gt;&lt;key app="EN" db-id="v2x05fr5xze0tkez0psxzdxyvvstv22t5s5e"&gt;17&lt;/key&gt;&lt;/foreign-keys&gt;&lt;ref-type name="Report"&gt;27&lt;/ref-type&gt;&lt;contributors&gt;&lt;authors&gt;&lt;author&gt;DECC&lt;/author&gt;&lt;/authors&gt;&lt;/contributors&gt;&lt;titles&gt;&lt;title&gt;Energy Consumption in the UK&lt;/title&gt;&lt;/titles&gt;&lt;dates&gt;&lt;year&gt;2014&lt;/year&gt;&lt;/dates&gt;&lt;pub-location&gt;London, UK&lt;/pub-location&gt;&lt;publisher&gt;Department of Energy and Climate Change&lt;/publisher&gt;&lt;urls&gt;&lt;/urls&gt;&lt;/record&gt;&lt;/Cite&gt;&lt;/EndNote&gt;</w:instrText>
      </w:r>
      <w:r w:rsidR="00495A73" w:rsidRPr="00B54BF2">
        <w:fldChar w:fldCharType="separate"/>
      </w:r>
      <w:r w:rsidR="00622AF5" w:rsidRPr="00622AF5">
        <w:rPr>
          <w:noProof/>
          <w:vertAlign w:val="superscript"/>
        </w:rPr>
        <w:t>20</w:t>
      </w:r>
      <w:r w:rsidR="00495A73" w:rsidRPr="00B54BF2">
        <w:fldChar w:fldCharType="end"/>
      </w:r>
      <w:r w:rsidR="00495A73" w:rsidRPr="00B54BF2">
        <w:t xml:space="preserve"> </w:t>
      </w:r>
      <w:r w:rsidR="00495A73" w:rsidRPr="00B54BF2">
        <w:fldChar w:fldCharType="begin"/>
      </w:r>
      <w:r w:rsidR="00622AF5">
        <w:instrText xml:space="preserve"> ADDIN EN.CITE &lt;EndNote&gt;&lt;Cite&gt;&lt;Author&gt;Defra&lt;/Author&gt;&lt;Year&gt;2013&lt;/Year&gt;&lt;RecNum&gt;18&lt;/RecNum&gt;&lt;DisplayText&gt;&lt;style face="superscript"&gt;21&lt;/style&gt;&lt;/DisplayText&gt;&lt;record&gt;&lt;rec-number&gt;18&lt;/rec-number&gt;&lt;foreign-keys&gt;&lt;key app="EN" db-id="v2x05fr5xze0tkez0psxzdxyvvstv22t5s5e"&gt;18&lt;/key&gt;&lt;/foreign-keys&gt;&lt;ref-type name="Report"&gt;27&lt;/ref-type&gt;&lt;contributors&gt;&lt;authors&gt;&lt;author&gt;Defra&lt;/author&gt;&lt;/authors&gt;&lt;/contributors&gt;&lt;titles&gt;&lt;title&gt;2013 Government GHG Conversion Factors for Company Reporting: Methodology Paper for Emission Factors&lt;/title&gt;&lt;/titles&gt;&lt;dates&gt;&lt;year&gt;2013&lt;/year&gt;&lt;/dates&gt;&lt;pub-location&gt;London, UK&lt;/pub-location&gt;&lt;publisher&gt;Department for Environment, Food &amp;amp; Rural Affairs&lt;/publisher&gt;&lt;urls&gt;&lt;/urls&gt;&lt;/record&gt;&lt;/Cite&gt;&lt;/EndNote&gt;</w:instrText>
      </w:r>
      <w:r w:rsidR="00495A73" w:rsidRPr="00B54BF2">
        <w:fldChar w:fldCharType="separate"/>
      </w:r>
      <w:r w:rsidR="00622AF5" w:rsidRPr="00622AF5">
        <w:rPr>
          <w:noProof/>
          <w:vertAlign w:val="superscript"/>
        </w:rPr>
        <w:t>21</w:t>
      </w:r>
      <w:r w:rsidR="00495A73" w:rsidRPr="00B54BF2">
        <w:fldChar w:fldCharType="end"/>
      </w:r>
    </w:p>
    <w:p w14:paraId="223A6746" w14:textId="77777777" w:rsidR="003713F0" w:rsidRPr="00B54BF2" w:rsidRDefault="003713F0" w:rsidP="0052304F">
      <w:pPr>
        <w:spacing w:line="480" w:lineRule="auto"/>
      </w:pPr>
    </w:p>
    <w:p w14:paraId="26C820DD" w14:textId="59445479" w:rsidR="002964AE" w:rsidRPr="0094384E" w:rsidRDefault="003713F0" w:rsidP="0052304F">
      <w:pPr>
        <w:spacing w:line="480" w:lineRule="auto"/>
        <w:rPr>
          <w:b/>
        </w:rPr>
      </w:pPr>
      <w:r w:rsidRPr="0094384E">
        <w:rPr>
          <w:b/>
        </w:rPr>
        <w:t xml:space="preserve">2.3 </w:t>
      </w:r>
      <w:r w:rsidR="002964AE" w:rsidRPr="0094384E">
        <w:rPr>
          <w:b/>
        </w:rPr>
        <w:t>Health burden</w:t>
      </w:r>
    </w:p>
    <w:p w14:paraId="372D025E" w14:textId="77777777" w:rsidR="003713F0" w:rsidRDefault="003713F0" w:rsidP="0052304F">
      <w:pPr>
        <w:spacing w:line="480" w:lineRule="auto"/>
      </w:pPr>
    </w:p>
    <w:p w14:paraId="66A177D4" w14:textId="77777777" w:rsidR="002964AE" w:rsidRPr="00B54BF2" w:rsidRDefault="003B4175" w:rsidP="0052304F">
      <w:pPr>
        <w:spacing w:line="480" w:lineRule="auto"/>
      </w:pPr>
      <w:r w:rsidRPr="00B54BF2">
        <w:lastRenderedPageBreak/>
        <w:t>M</w:t>
      </w:r>
      <w:r w:rsidR="002964AE" w:rsidRPr="00B54BF2">
        <w:t>ortality</w:t>
      </w:r>
      <w:r w:rsidR="00593CDD" w:rsidRPr="00B54BF2">
        <w:t xml:space="preserve"> associated with the estimated exposures over the range of dwelling permeabilities </w:t>
      </w:r>
      <w:r w:rsidR="00922168" w:rsidRPr="00B54BF2">
        <w:t>was</w:t>
      </w:r>
      <w:r w:rsidR="00593CDD" w:rsidRPr="00B54BF2">
        <w:t xml:space="preserve"> calculated for </w:t>
      </w:r>
      <w:r w:rsidR="00922168" w:rsidRPr="00B54BF2">
        <w:t xml:space="preserve">health </w:t>
      </w:r>
      <w:r w:rsidR="00593CDD" w:rsidRPr="00B54BF2">
        <w:t>o</w:t>
      </w:r>
      <w:r w:rsidR="002964AE" w:rsidRPr="00B54BF2">
        <w:t xml:space="preserve">utcomes with </w:t>
      </w:r>
      <w:r w:rsidRPr="00B54BF2">
        <w:t xml:space="preserve">the </w:t>
      </w:r>
      <w:r w:rsidR="002964AE" w:rsidRPr="00B54BF2">
        <w:t>strongest epidemiological evidence</w:t>
      </w:r>
      <w:r w:rsidR="00D1060C" w:rsidRPr="00B54BF2">
        <w:t xml:space="preserve"> (Table 1).</w:t>
      </w:r>
    </w:p>
    <w:p w14:paraId="54C09635" w14:textId="77777777" w:rsidR="003713F0" w:rsidRDefault="003713F0" w:rsidP="0052304F">
      <w:pPr>
        <w:spacing w:line="480" w:lineRule="auto"/>
      </w:pPr>
    </w:p>
    <w:p w14:paraId="6D013DE6" w14:textId="02841294" w:rsidR="0052304F" w:rsidRDefault="003B4175" w:rsidP="0052304F">
      <w:pPr>
        <w:spacing w:line="480" w:lineRule="auto"/>
      </w:pPr>
      <w:r w:rsidRPr="00B54BF2">
        <w:t>T</w:t>
      </w:r>
      <w:r w:rsidR="002964E3">
        <w:t xml:space="preserve">he burden of mortality (per 100 </w:t>
      </w:r>
      <w:r w:rsidRPr="00B54BF2">
        <w:t>000 population) was m</w:t>
      </w:r>
      <w:r w:rsidR="002964AE" w:rsidRPr="00B54BF2">
        <w:t xml:space="preserve">odelled using </w:t>
      </w:r>
      <w:r w:rsidRPr="00B54BF2">
        <w:t xml:space="preserve">a </w:t>
      </w:r>
      <w:r w:rsidR="002964AE" w:rsidRPr="00B54BF2">
        <w:t>multiple decrement life table</w:t>
      </w:r>
      <w:r w:rsidR="00237B10">
        <w:t xml:space="preserve"> (i.e. each cause of death included in a single life table)</w:t>
      </w:r>
      <w:r w:rsidR="00FB35D0">
        <w:t>,</w:t>
      </w:r>
      <w:r w:rsidR="002964AE" w:rsidRPr="00B54BF2">
        <w:t xml:space="preserve"> adapted from the IOMLIFET model</w:t>
      </w:r>
      <w:r w:rsidR="00FB35D0">
        <w:t>.</w:t>
      </w:r>
      <w:r w:rsidR="00495A73" w:rsidRPr="00B54BF2">
        <w:fldChar w:fldCharType="begin"/>
      </w:r>
      <w:r w:rsidR="00622AF5">
        <w:instrText xml:space="preserve"> ADDIN EN.CITE &lt;EndNote&gt;&lt;Cite&gt;&lt;Author&gt;Miller&lt;/Author&gt;&lt;Year&gt;2003&lt;/Year&gt;&lt;RecNum&gt;19&lt;/RecNum&gt;&lt;DisplayText&gt;&lt;style face="superscript"&gt;22&lt;/style&gt;&lt;/DisplayText&gt;&lt;record&gt;&lt;rec-number&gt;19&lt;/rec-number&gt;&lt;foreign-keys&gt;&lt;key app="EN" db-id="v2x05fr5xze0tkez0psxzdxyvvstv22t5s5e"&gt;19&lt;/key&gt;&lt;/foreign-keys&gt;&lt;ref-type name="Journal Article"&gt;17&lt;/ref-type&gt;&lt;contributors&gt;&lt;authors&gt;&lt;author&gt;Miller, B.G.&lt;/author&gt;&lt;author&gt;Hurley, J.F.&lt;/author&gt;&lt;/authors&gt;&lt;/contributors&gt;&lt;auth-address&gt;Institute of Occupational Medicine, Edinburgh, UK. brian.miller@iomhq.org.uk&lt;/auth-address&gt;&lt;titles&gt;&lt;title&gt;Life table methods for quantitative impact assessments in chronic mortality&lt;/title&gt;&lt;secondary-title&gt;Journal of Epidemiology &amp;amp; Community Health&lt;/secondary-title&gt;&lt;/titles&gt;&lt;periodical&gt;&lt;full-title&gt;Journal of Epidemiology &amp;amp; Community Health&lt;/full-title&gt;&lt;/periodical&gt;&lt;pages&gt;200-6&lt;/pages&gt;&lt;volume&gt;57&lt;/volume&gt;&lt;number&gt;3&lt;/number&gt;&lt;edition&gt;2003/02/21&lt;/edition&gt;&lt;keywords&gt;&lt;keyword&gt;Adolescent&lt;/keyword&gt;&lt;keyword&gt;Adult&lt;/keyword&gt;&lt;keyword&gt;Aged&lt;/keyword&gt;&lt;keyword&gt;Aged, 80 and over&lt;/keyword&gt;&lt;keyword&gt;Child&lt;/keyword&gt;&lt;keyword&gt;Child, Preschool&lt;/keyword&gt;&lt;keyword&gt;Female&lt;/keyword&gt;&lt;keyword&gt;Forecasting&lt;/keyword&gt;&lt;keyword&gt;Great Britain/epidemiology&lt;/keyword&gt;&lt;keyword&gt;Humans&lt;/keyword&gt;&lt;keyword&gt;Infant&lt;/keyword&gt;&lt;keyword&gt;Infant, Newborn&lt;/keyword&gt;&lt;keyword&gt;Life Expectancy&lt;/keyword&gt;&lt;keyword&gt;*Life Tables&lt;/keyword&gt;&lt;keyword&gt;Male&lt;/keyword&gt;&lt;keyword&gt;Middle Aged&lt;/keyword&gt;&lt;keyword&gt;*Mortality&lt;/keyword&gt;&lt;keyword&gt;Proportional Hazards Models&lt;/keyword&gt;&lt;keyword&gt;Sex Distribution&lt;/keyword&gt;&lt;keyword&gt;Survival Analysis&lt;/keyword&gt;&lt;keyword&gt;Survival Rate&lt;/keyword&gt;&lt;/keywords&gt;&lt;dates&gt;&lt;year&gt;2003&lt;/year&gt;&lt;pub-dates&gt;&lt;date&gt;Mar&lt;/date&gt;&lt;/pub-dates&gt;&lt;/dates&gt;&lt;isbn&gt;0143-005X (Print)&amp;#xD;0143-005x&lt;/isbn&gt;&lt;accession-num&gt;12594196&lt;/accession-num&gt;&lt;urls&gt;&lt;/urls&gt;&lt;custom2&gt;Pmc1732393&lt;/custom2&gt;&lt;remote-database-provider&gt;NLM&lt;/remote-database-provider&gt;&lt;language&gt;eng&lt;/language&gt;&lt;/record&gt;&lt;/Cite&gt;&lt;/EndNote&gt;</w:instrText>
      </w:r>
      <w:r w:rsidR="00495A73" w:rsidRPr="00B54BF2">
        <w:fldChar w:fldCharType="separate"/>
      </w:r>
      <w:r w:rsidR="00622AF5" w:rsidRPr="00622AF5">
        <w:rPr>
          <w:noProof/>
          <w:vertAlign w:val="superscript"/>
        </w:rPr>
        <w:t>22</w:t>
      </w:r>
      <w:r w:rsidR="00495A73" w:rsidRPr="00B54BF2">
        <w:fldChar w:fldCharType="end"/>
      </w:r>
      <w:r w:rsidRPr="00B54BF2">
        <w:t xml:space="preserve"> </w:t>
      </w:r>
      <w:r w:rsidR="00FB35D0">
        <w:t>The life table models the pattern of survival in the population over time based on age-specific death rates. Changes in these rates (due to changes in the environmental exposures) affect the life expectancy of the population. We used</w:t>
      </w:r>
      <w:r w:rsidRPr="00B54BF2">
        <w:t xml:space="preserve"> n</w:t>
      </w:r>
      <w:r w:rsidR="002964AE" w:rsidRPr="00B54BF2">
        <w:t>on-o</w:t>
      </w:r>
      <w:r w:rsidR="00557EE3" w:rsidRPr="00B54BF2">
        <w:t>verlapping causes of mortality</w:t>
      </w:r>
      <w:r w:rsidR="00FB35D0">
        <w:t>:</w:t>
      </w:r>
      <w:r w:rsidR="00557EE3" w:rsidRPr="00B54BF2">
        <w:t xml:space="preserve"> </w:t>
      </w:r>
      <w:r w:rsidR="00FB35D0">
        <w:t>f</w:t>
      </w:r>
      <w:r w:rsidR="00557EE3" w:rsidRPr="00B54BF2">
        <w:t xml:space="preserve">or example, </w:t>
      </w:r>
      <w:r w:rsidR="00922168" w:rsidRPr="00B54BF2">
        <w:t xml:space="preserve">deaths due to </w:t>
      </w:r>
      <w:r w:rsidR="00482F55" w:rsidRPr="00B54BF2">
        <w:t>cerebrovascular accident</w:t>
      </w:r>
      <w:r w:rsidR="00922168" w:rsidRPr="00B54BF2">
        <w:t xml:space="preserve"> </w:t>
      </w:r>
      <w:r w:rsidRPr="00B54BF2">
        <w:t>were excluded from</w:t>
      </w:r>
      <w:r w:rsidR="002964AE" w:rsidRPr="00B54BF2">
        <w:t xml:space="preserve"> cardiopulmonary</w:t>
      </w:r>
      <w:r w:rsidRPr="00B54BF2">
        <w:t xml:space="preserve"> deaths</w:t>
      </w:r>
      <w:r w:rsidR="00DD5380" w:rsidRPr="00B54BF2">
        <w:t xml:space="preserve"> to avoid double counting</w:t>
      </w:r>
      <w:r w:rsidRPr="00B54BF2">
        <w:t xml:space="preserve">. Separate life tables for males and females were set up using </w:t>
      </w:r>
      <w:r w:rsidR="006C1A70" w:rsidRPr="00B54BF2">
        <w:t xml:space="preserve">2010 </w:t>
      </w:r>
      <w:r w:rsidR="002964AE" w:rsidRPr="00B54BF2">
        <w:t xml:space="preserve">population and mortality data for </w:t>
      </w:r>
      <w:r w:rsidR="006C1A70" w:rsidRPr="00B54BF2">
        <w:t>England and Wales</w:t>
      </w:r>
      <w:r w:rsidR="002964AE" w:rsidRPr="00B54BF2">
        <w:t xml:space="preserve"> from </w:t>
      </w:r>
      <w:r w:rsidRPr="00B54BF2">
        <w:t>the Office for National Statistics (</w:t>
      </w:r>
      <w:r w:rsidR="002964AE" w:rsidRPr="00B54BF2">
        <w:t>ONS</w:t>
      </w:r>
      <w:r w:rsidRPr="00B54BF2">
        <w:t>).</w:t>
      </w:r>
      <w:r w:rsidR="006C1A70" w:rsidRPr="00B54BF2">
        <w:t xml:space="preserve"> Where</w:t>
      </w:r>
      <w:r w:rsidR="00557EE3" w:rsidRPr="00B54BF2">
        <w:t xml:space="preserve"> different exposures affected the same outcome</w:t>
      </w:r>
      <w:r w:rsidR="006C1A70" w:rsidRPr="00B54BF2">
        <w:t>, risks were assumed to be multiplicative. Environmental tobacco smoke was</w:t>
      </w:r>
      <w:r w:rsidR="002964AE" w:rsidRPr="00B54BF2">
        <w:t xml:space="preserve"> assumed to affect only no</w:t>
      </w:r>
      <w:r w:rsidR="006C1A70" w:rsidRPr="00B54BF2">
        <w:t>n-smokers living with smokers (</w:t>
      </w:r>
      <w:r w:rsidR="002964AE" w:rsidRPr="00B54BF2">
        <w:t>16</w:t>
      </w:r>
      <w:r w:rsidR="006C1A70" w:rsidRPr="00B54BF2">
        <w:t>.6</w:t>
      </w:r>
      <w:r w:rsidR="002964AE" w:rsidRPr="00B54BF2">
        <w:t xml:space="preserve">% according to </w:t>
      </w:r>
      <w:r w:rsidR="006C1A70" w:rsidRPr="00B54BF2">
        <w:t>the 2010 English Housing Survey</w:t>
      </w:r>
      <w:r w:rsidR="002964AE" w:rsidRPr="00B54BF2">
        <w:t>)</w:t>
      </w:r>
      <w:r w:rsidR="00922168" w:rsidRPr="00B54BF2">
        <w:t xml:space="preserve"> and </w:t>
      </w:r>
      <w:r w:rsidR="002964AE" w:rsidRPr="00B54BF2">
        <w:t>PM</w:t>
      </w:r>
      <w:r w:rsidR="002964AE" w:rsidRPr="00B54BF2">
        <w:rPr>
          <w:vertAlign w:val="subscript"/>
        </w:rPr>
        <w:t>2.5</w:t>
      </w:r>
      <w:r w:rsidR="002964AE" w:rsidRPr="00B54BF2">
        <w:t xml:space="preserve"> </w:t>
      </w:r>
      <w:r w:rsidR="006C1A70" w:rsidRPr="00B54BF2">
        <w:t xml:space="preserve">risks were </w:t>
      </w:r>
      <w:r w:rsidR="002964AE" w:rsidRPr="00B54BF2">
        <w:t>scaled for time spent ind</w:t>
      </w:r>
      <w:r w:rsidR="006C1A70" w:rsidRPr="00B54BF2">
        <w:t>oors at home (53%</w:t>
      </w:r>
      <w:r w:rsidR="002964AE" w:rsidRPr="00B54BF2">
        <w:t>)</w:t>
      </w:r>
      <w:r w:rsidR="00495A73" w:rsidRPr="00B54BF2">
        <w:t>.</w:t>
      </w:r>
      <w:r w:rsidR="00495A73" w:rsidRPr="00B54BF2">
        <w:fldChar w:fldCharType="begin"/>
      </w:r>
      <w:r w:rsidR="00622AF5">
        <w:instrText xml:space="preserve"> ADDIN EN.CITE &lt;EndNote&gt;&lt;Cite&gt;&lt;Author&gt;Kornartit&lt;/Author&gt;&lt;Year&gt;2010&lt;/Year&gt;&lt;RecNum&gt;20&lt;/RecNum&gt;&lt;DisplayText&gt;&lt;style face="superscript"&gt;23&lt;/style&gt;&lt;/DisplayText&gt;&lt;record&gt;&lt;rec-number&gt;20&lt;/rec-number&gt;&lt;foreign-keys&gt;&lt;key app="EN" db-id="v2x05fr5xze0tkez0psxzdxyvvstv22t5s5e"&gt;20&lt;/key&gt;&lt;/foreign-keys&gt;&lt;ref-type name="Journal Article"&gt;17&lt;/ref-type&gt;&lt;contributors&gt;&lt;authors&gt;&lt;author&gt;Kornartit, C.&lt;/author&gt;&lt;author&gt;Sokhi, R. S.&lt;/author&gt;&lt;author&gt;Burton, M. A.&lt;/author&gt;&lt;author&gt;Ravindra, K.&lt;/author&gt;&lt;/authors&gt;&lt;/contributors&gt;&lt;auth-address&gt;Centre for Atmospheric and Instrumentation Research (CAIR), University of Hertfordshire, Hatfield, Hertfordshire, AL10 9AB, UK.&lt;/auth-address&gt;&lt;titles&gt;&lt;title&gt;Activity pattern and personal exposure to nitrogen dioxide in indoor and outdoor microenvironments&lt;/title&gt;&lt;secondary-title&gt;Environment International&lt;/secondary-title&gt;&lt;alt-title&gt;Environment international&lt;/alt-title&gt;&lt;/titles&gt;&lt;periodical&gt;&lt;full-title&gt;Environ Int&lt;/full-title&gt;&lt;abbr-1&gt;Environment international&lt;/abbr-1&gt;&lt;/periodical&gt;&lt;alt-periodical&gt;&lt;full-title&gt;Environ Int&lt;/full-title&gt;&lt;abbr-1&gt;Environment international&lt;/abbr-1&gt;&lt;/alt-periodical&gt;&lt;pages&gt;36-45&lt;/pages&gt;&lt;volume&gt;36&lt;/volume&gt;&lt;number&gt;1&lt;/number&gt;&lt;edition&gt;2009/11/03&lt;/edition&gt;&lt;keywords&gt;&lt;keyword&gt;Air Pollutants/*analysis&lt;/keyword&gt;&lt;keyword&gt;Air Pollution, Indoor/*analysis&lt;/keyword&gt;&lt;keyword&gt;Atmosphere/*chemistry&lt;/keyword&gt;&lt;keyword&gt;Environmental Exposure/*analysis&lt;/keyword&gt;&lt;keyword&gt;Environmental Monitoring&lt;/keyword&gt;&lt;keyword&gt;Great Britain&lt;/keyword&gt;&lt;keyword&gt;Human Activities/statistics &amp;amp; numerical data&lt;/keyword&gt;&lt;keyword&gt;Nitrogen Dioxide/*analysis&lt;/keyword&gt;&lt;keyword&gt;Questionnaires&lt;/keyword&gt;&lt;/keywords&gt;&lt;dates&gt;&lt;year&gt;2010&lt;/year&gt;&lt;pub-dates&gt;&lt;date&gt;Jan&lt;/date&gt;&lt;/pub-dates&gt;&lt;/dates&gt;&lt;isbn&gt;0160-4120&lt;/isbn&gt;&lt;accession-num&gt;19878999&lt;/accession-num&gt;&lt;urls&gt;&lt;/urls&gt;&lt;electronic-resource-num&gt;10.1016/j.envint.2009.09.004&lt;/electronic-resource-num&gt;&lt;remote-database-provider&gt;NLM&lt;/remote-database-provider&gt;&lt;language&gt;eng&lt;/language&gt;&lt;/record&gt;&lt;/Cite&gt;&lt;/EndNote&gt;</w:instrText>
      </w:r>
      <w:r w:rsidR="00495A73" w:rsidRPr="00B54BF2">
        <w:fldChar w:fldCharType="separate"/>
      </w:r>
      <w:r w:rsidR="00622AF5" w:rsidRPr="00622AF5">
        <w:rPr>
          <w:noProof/>
          <w:vertAlign w:val="superscript"/>
        </w:rPr>
        <w:t>23</w:t>
      </w:r>
      <w:r w:rsidR="00495A73" w:rsidRPr="00B54BF2">
        <w:fldChar w:fldCharType="end"/>
      </w:r>
    </w:p>
    <w:p w14:paraId="06AA2B8B" w14:textId="77777777" w:rsidR="0052304F" w:rsidRDefault="0052304F" w:rsidP="0052304F">
      <w:pPr>
        <w:spacing w:line="480" w:lineRule="auto"/>
      </w:pPr>
    </w:p>
    <w:p w14:paraId="2ABF9A63" w14:textId="72B8989F" w:rsidR="003713F0" w:rsidRDefault="006C1A70" w:rsidP="0052304F">
      <w:pPr>
        <w:spacing w:line="480" w:lineRule="auto"/>
      </w:pPr>
      <w:r w:rsidRPr="00B54BF2">
        <w:t xml:space="preserve">The burden calculation was performed by applying </w:t>
      </w:r>
      <w:r w:rsidR="00C75E77" w:rsidRPr="00B54BF2">
        <w:t>the exposure-response function</w:t>
      </w:r>
      <w:r w:rsidR="00922168" w:rsidRPr="00B54BF2">
        <w:t>s</w:t>
      </w:r>
      <w:r w:rsidR="00C75E77" w:rsidRPr="00B54BF2">
        <w:t xml:space="preserve"> (i) to the age-specific deaths to estimate the expected additional deaths at each age, and (ii) to the life table to estimate remaining life expectancy at each </w:t>
      </w:r>
      <w:r w:rsidR="00C75E77" w:rsidRPr="00B54BF2">
        <w:lastRenderedPageBreak/>
        <w:t>age. The deaths</w:t>
      </w:r>
      <w:r w:rsidR="00557EE3" w:rsidRPr="00B54BF2">
        <w:t xml:space="preserve"> at each age</w:t>
      </w:r>
      <w:r w:rsidR="00C75E77" w:rsidRPr="00B54BF2">
        <w:t xml:space="preserve"> were then multiplied by the remaining life expectancy to estimate the total years of life lost </w:t>
      </w:r>
      <w:r w:rsidR="00B1392B">
        <w:t xml:space="preserve">(YLL) </w:t>
      </w:r>
      <w:r w:rsidR="00C75E77" w:rsidRPr="00B54BF2">
        <w:t>associated with those deaths, which were summed over all ages.</w:t>
      </w:r>
    </w:p>
    <w:p w14:paraId="493C1C12" w14:textId="77777777" w:rsidR="00630469" w:rsidRPr="006A6C56" w:rsidRDefault="00630469" w:rsidP="0052304F">
      <w:pPr>
        <w:spacing w:line="480" w:lineRule="auto"/>
      </w:pPr>
    </w:p>
    <w:p w14:paraId="125DD2F9" w14:textId="0163202C" w:rsidR="00630469" w:rsidRPr="006A6C56" w:rsidRDefault="006A6C56" w:rsidP="0052304F">
      <w:pPr>
        <w:spacing w:line="480" w:lineRule="auto"/>
        <w:rPr>
          <w:b/>
        </w:rPr>
      </w:pPr>
      <w:r w:rsidRPr="006A6C56">
        <w:rPr>
          <w:b/>
        </w:rPr>
        <w:t xml:space="preserve">2.4 </w:t>
      </w:r>
      <w:r w:rsidR="00630469" w:rsidRPr="006A6C56">
        <w:rPr>
          <w:b/>
        </w:rPr>
        <w:t>Costs</w:t>
      </w:r>
    </w:p>
    <w:p w14:paraId="13676A3B" w14:textId="77777777" w:rsidR="006A6C56" w:rsidRPr="006A6C56" w:rsidRDefault="006A6C56" w:rsidP="0052304F">
      <w:pPr>
        <w:spacing w:line="480" w:lineRule="auto"/>
      </w:pPr>
    </w:p>
    <w:p w14:paraId="220DB3F6" w14:textId="77777777" w:rsidR="00630469" w:rsidRPr="006A6C56" w:rsidRDefault="00630469" w:rsidP="0052304F">
      <w:pPr>
        <w:spacing w:line="480" w:lineRule="auto"/>
      </w:pPr>
    </w:p>
    <w:p w14:paraId="5480A300" w14:textId="42EFE338" w:rsidR="0052304F" w:rsidRDefault="00B1392B" w:rsidP="0052304F">
      <w:pPr>
        <w:spacing w:line="480" w:lineRule="auto"/>
      </w:pPr>
      <w:r>
        <w:t xml:space="preserve">Costs associated with </w:t>
      </w:r>
      <w:r w:rsidR="00630469">
        <w:t>health impacts, energy use and CO</w:t>
      </w:r>
      <w:r w:rsidR="00630469" w:rsidRPr="00630469">
        <w:rPr>
          <w:vertAlign w:val="subscript"/>
        </w:rPr>
        <w:t>2</w:t>
      </w:r>
      <w:r w:rsidR="00AB0F07">
        <w:t xml:space="preserve"> emissions were calculated. </w:t>
      </w:r>
      <w:r w:rsidR="00630469">
        <w:t xml:space="preserve">These were based on (i) the </w:t>
      </w:r>
      <w:r w:rsidRPr="00B54BF2">
        <w:t xml:space="preserve">monetized cost of </w:t>
      </w:r>
      <w:r w:rsidR="002D2393">
        <w:t>YLL</w:t>
      </w:r>
      <w:r w:rsidRPr="00B54BF2">
        <w:t xml:space="preserve"> </w:t>
      </w:r>
      <w:r w:rsidR="00630469">
        <w:t xml:space="preserve">using </w:t>
      </w:r>
      <w:r w:rsidRPr="00B54BF2">
        <w:t>a valuation of £30</w:t>
      </w:r>
      <w:r>
        <w:t xml:space="preserve"> </w:t>
      </w:r>
      <w:r w:rsidRPr="00B54BF2">
        <w:t>000 per life year</w:t>
      </w:r>
      <w:r>
        <w:fldChar w:fldCharType="begin"/>
      </w:r>
      <w:r>
        <w:instrText xml:space="preserve"> ADDIN EN.CITE &lt;EndNote&gt;&lt;Cite&gt;&lt;Author&gt;Devlin&lt;/Author&gt;&lt;Year&gt;2004&lt;/Year&gt;&lt;RecNum&gt;28&lt;/RecNum&gt;&lt;DisplayText&gt;&lt;style face="superscript"&gt;24&lt;/style&gt;&lt;/DisplayText&gt;&lt;record&gt;&lt;rec-number&gt;28&lt;/rec-number&gt;&lt;foreign-keys&gt;&lt;key app="EN" db-id="v2x05fr5xze0tkez0psxzdxyvvstv22t5s5e"&gt;28&lt;/key&gt;&lt;/foreign-keys&gt;&lt;ref-type name="Journal Article"&gt;17&lt;/ref-type&gt;&lt;contributors&gt;&lt;authors&gt;&lt;author&gt;Devlin, N.&lt;/author&gt;&lt;author&gt;Parkin, D.&lt;/author&gt;&lt;/authors&gt;&lt;/contributors&gt;&lt;titles&gt;&lt;title&gt;Does NICE have a cost-effectiveness threshold and what other factors influence its decisions? A binary choice analysis&lt;/title&gt;&lt;secondary-title&gt;Health Economics&lt;/secondary-title&gt;&lt;/titles&gt;&lt;periodical&gt;&lt;full-title&gt;Health Economics&lt;/full-title&gt;&lt;/periodical&gt;&lt;pages&gt;437-52&lt;/pages&gt;&lt;volume&gt;13&lt;/volume&gt;&lt;dates&gt;&lt;year&gt;2004&lt;/year&gt;&lt;/dates&gt;&lt;urls&gt;&lt;/urls&gt;&lt;/record&gt;&lt;/Cite&gt;&lt;/EndNote&gt;</w:instrText>
      </w:r>
      <w:r>
        <w:fldChar w:fldCharType="separate"/>
      </w:r>
      <w:r w:rsidRPr="00622AF5">
        <w:rPr>
          <w:noProof/>
          <w:vertAlign w:val="superscript"/>
        </w:rPr>
        <w:t>24</w:t>
      </w:r>
      <w:r>
        <w:fldChar w:fldCharType="end"/>
      </w:r>
      <w:r w:rsidRPr="00B54BF2">
        <w:t xml:space="preserve">, </w:t>
      </w:r>
      <w:r w:rsidR="00630469">
        <w:t xml:space="preserve">(ii) </w:t>
      </w:r>
      <w:r w:rsidRPr="00B54BF2">
        <w:t xml:space="preserve">the social cost of carbon dioxide equivalent </w:t>
      </w:r>
      <w:r w:rsidR="002D2393">
        <w:t>(CO</w:t>
      </w:r>
      <w:r w:rsidR="002D2393" w:rsidRPr="002D2393">
        <w:rPr>
          <w:vertAlign w:val="subscript"/>
        </w:rPr>
        <w:t>2</w:t>
      </w:r>
      <w:r w:rsidR="002D2393">
        <w:t xml:space="preserve">e) </w:t>
      </w:r>
      <w:r w:rsidRPr="00B54BF2">
        <w:t>emissions</w:t>
      </w:r>
      <w:r w:rsidR="00630469">
        <w:t xml:space="preserve">, </w:t>
      </w:r>
      <w:r w:rsidRPr="00B54BF2">
        <w:t xml:space="preserve">represented by illustrative assumed </w:t>
      </w:r>
      <w:r>
        <w:t xml:space="preserve">future </w:t>
      </w:r>
      <w:r w:rsidRPr="00B54BF2">
        <w:t>tariffs of £15 and</w:t>
      </w:r>
      <w:r>
        <w:t xml:space="preserve">, </w:t>
      </w:r>
      <w:r w:rsidRPr="00B54BF2">
        <w:t>as an extreme value</w:t>
      </w:r>
      <w:r>
        <w:t>,</w:t>
      </w:r>
      <w:r w:rsidRPr="00B54BF2">
        <w:t xml:space="preserve"> £</w:t>
      </w:r>
      <w:r>
        <w:t>75</w:t>
      </w:r>
      <w:r w:rsidR="002D2393">
        <w:t xml:space="preserve"> per tonne</w:t>
      </w:r>
      <w:r>
        <w:fldChar w:fldCharType="begin"/>
      </w:r>
      <w:r w:rsidR="00774F69">
        <w:instrText xml:space="preserve"> ADDIN EN.CITE &lt;EndNote&gt;&lt;Cite&gt;&lt;Author&gt;DECC&lt;/Author&gt;&lt;Year&gt;2013&lt;/Year&gt;&lt;RecNum&gt;21&lt;/RecNum&gt;&lt;DisplayText&gt;&lt;style face="superscript"&gt;25&lt;/style&gt;&lt;/DisplayText&gt;&lt;record&gt;&lt;rec-number&gt;21&lt;/rec-number&gt;&lt;foreign-keys&gt;&lt;key app="EN" db-id="v2x05fr5xze0tkez0psxzdxyvvstv22t5s5e"&gt;21&lt;/key&gt;&lt;/foreign-keys&gt;&lt;ref-type name="Report"&gt;27&lt;/ref-type&gt;&lt;contributors&gt;&lt;authors&gt;&lt;author&gt;DECC&lt;/author&gt;&lt;/authors&gt;&lt;/contributors&gt;&lt;titles&gt;&lt;title&gt;Updated Short-Term Traded Carbon Values used for UK Public Policy Appraisal&lt;/title&gt;&lt;/titles&gt;&lt;dates&gt;&lt;year&gt;2013&lt;/year&gt;&lt;/dates&gt;&lt;pub-location&gt;London, UK&lt;/pub-location&gt;&lt;publisher&gt;Department of Energy and Climate Change&lt;/publisher&gt;&lt;urls&gt;&lt;related-urls&gt;&lt;url&gt;https://www.gov.uk/government/uploads/system/uploads/attachment_data/file/240095/short-term_traded_carbon_values_used_for_UK_policy_appraisal_2013_FINAL_URN.pdf&lt;/url&gt;&lt;/related-urls&gt;&lt;/urls&gt;&lt;/record&gt;&lt;/Cite&gt;&lt;/EndNote&gt;</w:instrText>
      </w:r>
      <w:r>
        <w:fldChar w:fldCharType="separate"/>
      </w:r>
      <w:r w:rsidRPr="00875B9E">
        <w:rPr>
          <w:noProof/>
          <w:vertAlign w:val="superscript"/>
        </w:rPr>
        <w:t>25</w:t>
      </w:r>
      <w:r>
        <w:fldChar w:fldCharType="end"/>
      </w:r>
      <w:r w:rsidR="00630469">
        <w:t>, and (iii)</w:t>
      </w:r>
      <w:r w:rsidR="002D2393">
        <w:t xml:space="preserve"> </w:t>
      </w:r>
      <w:r w:rsidRPr="00B54BF2">
        <w:t xml:space="preserve">the direct </w:t>
      </w:r>
      <w:r>
        <w:t xml:space="preserve">space heating-related </w:t>
      </w:r>
      <w:r w:rsidRPr="00B54BF2">
        <w:t>fuel costs at an assumed tariff of £0</w:t>
      </w:r>
      <w:r>
        <w:t>.05 per kilowatt hour (kWh).</w:t>
      </w:r>
    </w:p>
    <w:p w14:paraId="02BD9A8B" w14:textId="77777777" w:rsidR="00630469" w:rsidRPr="00B54BF2" w:rsidRDefault="00630469" w:rsidP="0052304F">
      <w:pPr>
        <w:spacing w:line="480" w:lineRule="auto"/>
      </w:pPr>
    </w:p>
    <w:p w14:paraId="463CD939" w14:textId="47D56CE8" w:rsidR="0052304F" w:rsidRPr="0094384E" w:rsidRDefault="003713F0" w:rsidP="0094384E">
      <w:pPr>
        <w:pStyle w:val="ListParagraph"/>
        <w:numPr>
          <w:ilvl w:val="0"/>
          <w:numId w:val="3"/>
        </w:numPr>
        <w:spacing w:line="480" w:lineRule="auto"/>
        <w:rPr>
          <w:b/>
          <w:sz w:val="24"/>
          <w:szCs w:val="24"/>
        </w:rPr>
      </w:pPr>
      <w:r w:rsidRPr="0094384E">
        <w:rPr>
          <w:b/>
          <w:sz w:val="24"/>
          <w:szCs w:val="24"/>
        </w:rPr>
        <w:t>Results</w:t>
      </w:r>
    </w:p>
    <w:p w14:paraId="5810D030" w14:textId="77777777" w:rsidR="0052304F" w:rsidRDefault="0052304F" w:rsidP="0052304F">
      <w:pPr>
        <w:spacing w:line="480" w:lineRule="auto"/>
      </w:pPr>
    </w:p>
    <w:p w14:paraId="59ABC8C9" w14:textId="4CDF7467" w:rsidR="00385460" w:rsidRPr="0052304F" w:rsidRDefault="00714C47" w:rsidP="0052304F">
      <w:pPr>
        <w:spacing w:line="480" w:lineRule="auto"/>
        <w:rPr>
          <w:sz w:val="24"/>
          <w:szCs w:val="24"/>
        </w:rPr>
      </w:pPr>
      <w:r w:rsidRPr="0052304F">
        <w:t>Figure 1</w:t>
      </w:r>
      <w:r w:rsidR="00B91683" w:rsidRPr="0052304F">
        <w:t xml:space="preserve"> illustrates the results of the simulations of indoor concentrations of </w:t>
      </w:r>
      <w:r w:rsidR="00060774">
        <w:t xml:space="preserve">the </w:t>
      </w:r>
      <w:r w:rsidR="00B91683" w:rsidRPr="0052304F">
        <w:t xml:space="preserve">four key pollutants in relation to dwelling permeability: </w:t>
      </w:r>
      <w:r w:rsidR="00060774" w:rsidRPr="00B54BF2">
        <w:t>PM</w:t>
      </w:r>
      <w:r w:rsidR="00060774" w:rsidRPr="00B54BF2">
        <w:rPr>
          <w:vertAlign w:val="subscript"/>
        </w:rPr>
        <w:t>2.5</w:t>
      </w:r>
      <w:r w:rsidR="00060774" w:rsidRPr="00B54BF2">
        <w:t xml:space="preserve"> (due to both indoor and outdoor sources), environmental tobacco smoke, and radon</w:t>
      </w:r>
      <w:r w:rsidR="00B91683" w:rsidRPr="0052304F">
        <w:t xml:space="preserve">. For particles derived from outdoor sources there is a curvilinear increase in concentrations </w:t>
      </w:r>
      <w:r w:rsidR="00B91683" w:rsidRPr="0052304F">
        <w:lastRenderedPageBreak/>
        <w:t>with increasing permeability, with the increase in concentrations getting progressively less at higher permeabilities.</w:t>
      </w:r>
      <w:r w:rsidR="00AE065B" w:rsidRPr="0052304F">
        <w:t xml:space="preserve"> This pattern of course reflects the greater ingress of outdoor particle pollution with increasing leakiness of the dwelling. For the other three </w:t>
      </w:r>
      <w:r w:rsidR="00060774">
        <w:t xml:space="preserve">(indoor-generated) </w:t>
      </w:r>
      <w:r w:rsidR="00AE065B" w:rsidRPr="0052304F">
        <w:t xml:space="preserve">pollutants, the functions have an approximately exponential </w:t>
      </w:r>
      <w:r w:rsidR="00060774">
        <w:t xml:space="preserve">decay </w:t>
      </w:r>
      <w:r w:rsidR="00AE065B" w:rsidRPr="0052304F">
        <w:t xml:space="preserve">form with concentrations highest at very low levels of permeability, initially falling rapidly with increasing permeability but settling into much more gradual declines in concentrations with increasing permeability above around 15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8B5384" w:rsidRPr="0052304F">
        <w:t xml:space="preserve">. </w:t>
      </w:r>
      <w:r w:rsidR="00AE065B" w:rsidRPr="0052304F">
        <w:t xml:space="preserve">For all </w:t>
      </w:r>
      <w:r w:rsidR="00766E0F">
        <w:t xml:space="preserve">indoor-generated </w:t>
      </w:r>
      <w:r w:rsidR="00AE065B" w:rsidRPr="0052304F">
        <w:t>pollutants, dwellings with trickle vents, and especially extract fans or both, had lower levels of pollutants than dwellings with neither.</w:t>
      </w:r>
      <w:r w:rsidR="00C45E82" w:rsidRPr="0052304F">
        <w:t xml:space="preserve"> These plots indicate a relatively critical influence of dwelling permeability on the concentration of indoor pollutants towards very low levels of permeability.</w:t>
      </w:r>
      <w:r w:rsidR="00FB627A">
        <w:t xml:space="preserve"> For particulate pollution from outdoor sources, however, dwellings without purpose-provided ventilation are most protective.</w:t>
      </w:r>
    </w:p>
    <w:p w14:paraId="7648A7B4" w14:textId="77777777" w:rsidR="003713F0" w:rsidRPr="00B54BF2" w:rsidRDefault="003713F0" w:rsidP="0052304F">
      <w:pPr>
        <w:spacing w:line="480" w:lineRule="auto"/>
      </w:pPr>
    </w:p>
    <w:p w14:paraId="2E42A5F5" w14:textId="7FC41253" w:rsidR="00385460" w:rsidRDefault="00C45E82" w:rsidP="0052304F">
      <w:pPr>
        <w:spacing w:line="480" w:lineRule="auto"/>
      </w:pPr>
      <w:r w:rsidRPr="00B54BF2">
        <w:t xml:space="preserve">Figure 2 shows the effect of permeability on space heating-related energy demand, carbon dioxide emissions and </w:t>
      </w:r>
      <w:r w:rsidR="002D2393">
        <w:t>YLL</w:t>
      </w:r>
      <w:r w:rsidRPr="00B54BF2">
        <w:t xml:space="preserve"> due to indoor pollutant</w:t>
      </w:r>
      <w:r w:rsidR="005575DB">
        <w:t xml:space="preserve"> exposure</w:t>
      </w:r>
      <w:r w:rsidRPr="00B54BF2">
        <w:t xml:space="preserve">. Unsurprisingly, </w:t>
      </w:r>
      <w:r w:rsidR="005575DB">
        <w:t xml:space="preserve">in Figure 2[A] </w:t>
      </w:r>
      <w:r w:rsidRPr="00B54BF2">
        <w:t>there is a broadly linear increase in space heating energy demand as permeability rises (due to the need to heat increasingly large volumes of air</w:t>
      </w:r>
      <w:r w:rsidR="003B2FD1" w:rsidRPr="00B54BF2">
        <w:t xml:space="preserve"> per hour</w:t>
      </w:r>
      <w:r w:rsidRPr="00B54BF2">
        <w:t xml:space="preserve">), and also of the related </w:t>
      </w:r>
      <w:r w:rsidR="005575DB">
        <w:t>GHG</w:t>
      </w:r>
      <w:r w:rsidRPr="00B54BF2">
        <w:t xml:space="preserve"> emissions. The gradient of the rise in heating-related CO</w:t>
      </w:r>
      <w:r w:rsidRPr="00B54BF2">
        <w:rPr>
          <w:vertAlign w:val="subscript"/>
        </w:rPr>
        <w:t>2</w:t>
      </w:r>
      <w:r w:rsidRPr="00B54BF2">
        <w:t xml:space="preserve"> emissions with permeability is dependent upon the carbon intensity of the energy sources use</w:t>
      </w:r>
      <w:r w:rsidR="00885AF6" w:rsidRPr="00B54BF2">
        <w:t>d</w:t>
      </w:r>
      <w:r w:rsidRPr="00B54BF2">
        <w:t xml:space="preserve"> for space heating and</w:t>
      </w:r>
      <w:r w:rsidR="00885AF6" w:rsidRPr="00B54BF2">
        <w:t>, as illustrated</w:t>
      </w:r>
      <w:r w:rsidR="005575DB">
        <w:t xml:space="preserve"> in </w:t>
      </w:r>
      <w:r w:rsidR="005575DB">
        <w:lastRenderedPageBreak/>
        <w:t>Figure 2[B]</w:t>
      </w:r>
      <w:r w:rsidR="00885AF6" w:rsidRPr="00B54BF2">
        <w:t>,</w:t>
      </w:r>
      <w:r w:rsidRPr="00B54BF2">
        <w:t xml:space="preserve"> declines proportionately</w:t>
      </w:r>
      <w:r w:rsidR="00885AF6" w:rsidRPr="00B54BF2">
        <w:t xml:space="preserve"> with </w:t>
      </w:r>
      <w:r w:rsidRPr="00B54BF2">
        <w:t>increasing decarboni</w:t>
      </w:r>
      <w:r w:rsidR="00885AF6" w:rsidRPr="00B54BF2">
        <w:t>z</w:t>
      </w:r>
      <w:r w:rsidRPr="00B54BF2">
        <w:t>ation (eventually yielding a flat line of zero gradient</w:t>
      </w:r>
      <w:r w:rsidR="00885AF6" w:rsidRPr="00B54BF2">
        <w:t xml:space="preserve"> at </w:t>
      </w:r>
      <w:r w:rsidRPr="00B54BF2">
        <w:t>100% decarboni</w:t>
      </w:r>
      <w:r w:rsidR="00885AF6" w:rsidRPr="00B54BF2">
        <w:t>z</w:t>
      </w:r>
      <w:r w:rsidRPr="00B54BF2">
        <w:t xml:space="preserve">ation). The curves for </w:t>
      </w:r>
      <w:r w:rsidR="002D2393">
        <w:t>YLL</w:t>
      </w:r>
      <w:r w:rsidR="00885AF6" w:rsidRPr="00B54BF2">
        <w:t xml:space="preserve"> </w:t>
      </w:r>
      <w:r w:rsidR="002964E3">
        <w:t xml:space="preserve">per 100 </w:t>
      </w:r>
      <w:r w:rsidRPr="00B54BF2">
        <w:t xml:space="preserve">000 population </w:t>
      </w:r>
      <w:r w:rsidR="00885AF6" w:rsidRPr="00B54BF2">
        <w:t xml:space="preserve">per year </w:t>
      </w:r>
      <w:r w:rsidR="005575DB">
        <w:t xml:space="preserve">(Figure 2[C]) </w:t>
      </w:r>
      <w:r w:rsidRPr="00B54BF2">
        <w:t>reflect the net effect on health of all the model</w:t>
      </w:r>
      <w:r w:rsidR="00CE467A">
        <w:t>led</w:t>
      </w:r>
      <w:r w:rsidRPr="00B54BF2">
        <w:t xml:space="preserve"> pollutants in combination, and again take the form of an approximately exponential function</w:t>
      </w:r>
      <w:r w:rsidR="005575DB">
        <w:t>. There are</w:t>
      </w:r>
      <w:r w:rsidRPr="00B54BF2">
        <w:t xml:space="preserve"> steep declines </w:t>
      </w:r>
      <w:r w:rsidR="005575DB">
        <w:t xml:space="preserve">in the </w:t>
      </w:r>
      <w:r w:rsidR="00D33E8E">
        <w:t xml:space="preserve">health burden </w:t>
      </w:r>
      <w:r w:rsidR="00885AF6" w:rsidRPr="00B54BF2">
        <w:t xml:space="preserve">as permeability increases from very low levels of permeability but quickly levelling off to a more gradual decline at higher levels of permeability above around 15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885AF6" w:rsidRPr="00B54BF2">
        <w:t xml:space="preserve">. The shape of </w:t>
      </w:r>
      <w:r w:rsidR="00D94C16">
        <w:t xml:space="preserve">the </w:t>
      </w:r>
      <w:r w:rsidR="00885AF6" w:rsidRPr="00B54BF2">
        <w:t xml:space="preserve">curve reflects the dominance of the effect of the indoor pollutants (particles of indoor origin, </w:t>
      </w:r>
      <w:r w:rsidR="005E558F">
        <w:t>environmental</w:t>
      </w:r>
      <w:r w:rsidR="00885AF6" w:rsidRPr="00B54BF2">
        <w:t xml:space="preserve"> tobacco smoke, and radon) over that of particles derived from outdoor sour</w:t>
      </w:r>
      <w:r w:rsidR="00CE467A">
        <w:t xml:space="preserve">ces. As Figure 2[C] illustrates, </w:t>
      </w:r>
      <w:r w:rsidR="00885AF6" w:rsidRPr="00B54BF2">
        <w:t>varying the assumption of the concentration of outdoor particles (PM</w:t>
      </w:r>
      <w:r w:rsidR="00885AF6" w:rsidRPr="00B54BF2">
        <w:rPr>
          <w:vertAlign w:val="subscript"/>
        </w:rPr>
        <w:t>2.5</w:t>
      </w:r>
      <w:r w:rsidR="00885AF6" w:rsidRPr="00B54BF2">
        <w:t xml:space="preserve">) </w:t>
      </w:r>
      <w:r w:rsidR="00F42C61">
        <w:t>shifts</w:t>
      </w:r>
      <w:r w:rsidR="00885AF6" w:rsidRPr="00B54BF2">
        <w:t xml:space="preserve"> the </w:t>
      </w:r>
      <w:r w:rsidR="00F42C61">
        <w:t xml:space="preserve">curve (of YLL vs. </w:t>
      </w:r>
      <w:r w:rsidR="00885AF6" w:rsidRPr="00B54BF2">
        <w:t>permeability</w:t>
      </w:r>
      <w:r w:rsidR="00F42C61">
        <w:t>)</w:t>
      </w:r>
      <w:r w:rsidR="00885AF6" w:rsidRPr="00B54BF2">
        <w:t xml:space="preserve"> </w:t>
      </w:r>
      <w:r w:rsidR="00D94C16">
        <w:t xml:space="preserve">upwards or downwards </w:t>
      </w:r>
      <w:r w:rsidR="00F42C61">
        <w:t>in proportion</w:t>
      </w:r>
      <w:r w:rsidR="00F42C61" w:rsidRPr="00B54BF2">
        <w:t xml:space="preserve"> </w:t>
      </w:r>
      <w:r w:rsidR="00885AF6" w:rsidRPr="00B54BF2">
        <w:t>to the outdoor PM</w:t>
      </w:r>
      <w:r w:rsidR="00885AF6" w:rsidRPr="00B54BF2">
        <w:rPr>
          <w:vertAlign w:val="subscript"/>
        </w:rPr>
        <w:t>2.5</w:t>
      </w:r>
      <w:r w:rsidR="00885AF6" w:rsidRPr="00B54BF2">
        <w:t xml:space="preserve"> concentration.</w:t>
      </w:r>
      <w:r w:rsidR="00D33E8E">
        <w:t xml:space="preserve"> The figure demonstrates how the protective effect of the building envelope against outdoor particles would become less important if ambient air pollution levels were to be reduced in the future. </w:t>
      </w:r>
    </w:p>
    <w:p w14:paraId="5C568AD1" w14:textId="77777777" w:rsidR="003713F0" w:rsidRPr="00B54BF2" w:rsidRDefault="003713F0" w:rsidP="0052304F">
      <w:pPr>
        <w:spacing w:line="480" w:lineRule="auto"/>
      </w:pPr>
    </w:p>
    <w:p w14:paraId="10761401" w14:textId="464A33DC" w:rsidR="009D0A1B" w:rsidRDefault="000C3FBC" w:rsidP="0052304F">
      <w:pPr>
        <w:spacing w:line="480" w:lineRule="auto"/>
      </w:pPr>
      <w:r w:rsidRPr="00B54BF2">
        <w:t>Figure 3 illustrates, for an ‘average’ dwelling</w:t>
      </w:r>
      <w:r w:rsidR="000F6C2D">
        <w:t xml:space="preserve"> and ventilation strategy</w:t>
      </w:r>
      <w:r w:rsidRPr="00B54BF2">
        <w:t xml:space="preserve">, the annualized </w:t>
      </w:r>
      <w:r w:rsidR="00EE7669">
        <w:t xml:space="preserve">monetary </w:t>
      </w:r>
      <w:r w:rsidRPr="00B54BF2">
        <w:t>cost</w:t>
      </w:r>
      <w:r w:rsidR="008B5384">
        <w:t>s</w:t>
      </w:r>
      <w:r w:rsidR="00630469">
        <w:t xml:space="preserve"> (relating to health, energy and CO</w:t>
      </w:r>
      <w:r w:rsidR="00630469" w:rsidRPr="00630469">
        <w:rPr>
          <w:vertAlign w:val="subscript"/>
        </w:rPr>
        <w:t>2</w:t>
      </w:r>
      <w:r w:rsidR="00E6011D">
        <w:t xml:space="preserve">e </w:t>
      </w:r>
      <w:r w:rsidR="00630469">
        <w:t>emissions)</w:t>
      </w:r>
      <w:r w:rsidR="008B5384">
        <w:t xml:space="preserve"> in relation to </w:t>
      </w:r>
      <w:r w:rsidR="000F6C2D">
        <w:t xml:space="preserve">dwelling </w:t>
      </w:r>
      <w:r w:rsidR="008B5384">
        <w:t xml:space="preserve">permeability. </w:t>
      </w:r>
      <w:r w:rsidRPr="00B54BF2">
        <w:t xml:space="preserve">When only health impact (YLL) costs are included, the </w:t>
      </w:r>
      <w:r w:rsidR="0081146B" w:rsidRPr="00B54BF2">
        <w:t xml:space="preserve">monetized cost of the adverse health effects of air pollutants </w:t>
      </w:r>
      <w:r w:rsidR="00630469">
        <w:t xml:space="preserve">(which are heavily influenced by </w:t>
      </w:r>
      <w:r w:rsidR="000F6C2D">
        <w:t xml:space="preserve">exposure to </w:t>
      </w:r>
      <w:r w:rsidR="00630469">
        <w:t xml:space="preserve">indoor-generated pollutants) </w:t>
      </w:r>
      <w:r w:rsidR="000F6C2D">
        <w:t xml:space="preserve">continues to </w:t>
      </w:r>
      <w:r w:rsidR="0081146B" w:rsidRPr="00B54BF2">
        <w:t>decline with increasing permeability, albeit v</w:t>
      </w:r>
      <w:r w:rsidR="00617B6F">
        <w:t xml:space="preserve">ery gradually at </w:t>
      </w:r>
      <w:r w:rsidR="0081146B" w:rsidRPr="00B54BF2">
        <w:t xml:space="preserve">higher permeability </w:t>
      </w:r>
      <w:r w:rsidR="0081146B" w:rsidRPr="00B54BF2">
        <w:lastRenderedPageBreak/>
        <w:t xml:space="preserve">levels. The addition of monetized social costs of carbon dioxide emissions, and especially of direct fuel costs, superimpose an approximately linear increase </w:t>
      </w:r>
      <w:r w:rsidR="004546AC">
        <w:t xml:space="preserve">in costs </w:t>
      </w:r>
      <w:r w:rsidR="00630469" w:rsidRPr="00B54BF2">
        <w:t xml:space="preserve">with </w:t>
      </w:r>
      <w:r w:rsidR="000A2980">
        <w:t xml:space="preserve">permeability </w:t>
      </w:r>
      <w:r w:rsidR="00A01786" w:rsidRPr="00B54BF2">
        <w:t>on the YLL curve</w:t>
      </w:r>
      <w:r w:rsidR="00630469">
        <w:t>. Th</w:t>
      </w:r>
      <w:r w:rsidR="000A2980">
        <w:t>e</w:t>
      </w:r>
      <w:r w:rsidR="00630469">
        <w:t xml:space="preserve"> </w:t>
      </w:r>
      <w:r w:rsidR="0081146B" w:rsidRPr="00B54BF2">
        <w:t>result</w:t>
      </w:r>
      <w:r w:rsidR="000A2980">
        <w:t>ing</w:t>
      </w:r>
      <w:r w:rsidR="0081146B" w:rsidRPr="00B54BF2">
        <w:t xml:space="preserve"> function</w:t>
      </w:r>
      <w:r w:rsidR="00A01786" w:rsidRPr="00B54BF2">
        <w:t>s</w:t>
      </w:r>
      <w:r w:rsidR="0081146B" w:rsidRPr="00B54BF2">
        <w:t xml:space="preserve"> show a more-or-less well-defined </w:t>
      </w:r>
      <w:r w:rsidR="00A01786" w:rsidRPr="00B54BF2">
        <w:t xml:space="preserve">unique </w:t>
      </w:r>
      <w:r w:rsidR="0081146B" w:rsidRPr="00B54BF2">
        <w:t>minimum value of costs. W</w:t>
      </w:r>
      <w:r w:rsidR="000A2980">
        <w:t>ith</w:t>
      </w:r>
      <w:r w:rsidR="0081146B" w:rsidRPr="00B54BF2">
        <w:t xml:space="preserve"> higher tariffs for the social cost of carbon dioxide</w:t>
      </w:r>
      <w:r w:rsidR="000A2980">
        <w:t xml:space="preserve"> (and/or inclusion of direct fuel costs)</w:t>
      </w:r>
      <w:r w:rsidR="0081146B" w:rsidRPr="00B54BF2">
        <w:t>, the minim</w:t>
      </w:r>
      <w:r w:rsidR="000A2980">
        <w:t>um</w:t>
      </w:r>
      <w:r w:rsidR="0081146B" w:rsidRPr="00B54BF2">
        <w:t xml:space="preserve"> cost permeability lies in the range of </w:t>
      </w:r>
      <w:r w:rsidR="000A2980">
        <w:t>3</w:t>
      </w:r>
      <w:r w:rsidR="0081146B" w:rsidRPr="000A2980">
        <w:t xml:space="preserve"> to 7</w:t>
      </w:r>
      <w:r w:rsidR="0081146B" w:rsidRPr="00B54BF2">
        <w:t xml:space="preserve">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0A2980">
        <w:t>.</w:t>
      </w:r>
      <w:r w:rsidR="00A01786" w:rsidRPr="00B54BF2">
        <w:t xml:space="preserve"> </w:t>
      </w:r>
      <w:r w:rsidR="000A2980">
        <w:t xml:space="preserve">With </w:t>
      </w:r>
      <w:r w:rsidR="00A01786" w:rsidRPr="00B54BF2">
        <w:t>social costs of carbon dioxide emissions</w:t>
      </w:r>
      <w:r w:rsidR="000A2980">
        <w:t xml:space="preserve"> included </w:t>
      </w:r>
      <w:r w:rsidR="00A01786" w:rsidRPr="00B54BF2">
        <w:t>at</w:t>
      </w:r>
      <w:r w:rsidR="009D0A1B">
        <w:t xml:space="preserve"> relatively low values, the minimum cost permeability lies at m</w:t>
      </w:r>
      <w:r w:rsidR="00AB0F07">
        <w:t>uch higher permeability levels.</w:t>
      </w:r>
      <w:r w:rsidR="009D0A1B">
        <w:t xml:space="preserve"> Indeed, even at £15 per tCO</w:t>
      </w:r>
      <w:r w:rsidR="009D0A1B" w:rsidRPr="009D0A1B">
        <w:rPr>
          <w:vertAlign w:val="subscript"/>
        </w:rPr>
        <w:t>2</w:t>
      </w:r>
      <w:r w:rsidR="009D0A1B">
        <w:t>e (close to the higher estimate for the social costs of carbon at 2014 valuations</w:t>
      </w:r>
      <w:r w:rsidR="00A01786" w:rsidRPr="00B54BF2">
        <w:fldChar w:fldCharType="begin"/>
      </w:r>
      <w:r w:rsidR="00774F69">
        <w:instrText xml:space="preserve"> ADDIN EN.CITE &lt;EndNote&gt;&lt;Cite&gt;&lt;Author&gt;DECC&lt;/Author&gt;&lt;Year&gt;2013&lt;/Year&gt;&lt;RecNum&gt;21&lt;/RecNum&gt;&lt;DisplayText&gt;&lt;style face="superscript"&gt;25&lt;/style&gt;&lt;/DisplayText&gt;&lt;record&gt;&lt;rec-number&gt;21&lt;/rec-number&gt;&lt;foreign-keys&gt;&lt;key app="EN" db-id="v2x05fr5xze0tkez0psxzdxyvvstv22t5s5e"&gt;21&lt;/key&gt;&lt;/foreign-keys&gt;&lt;ref-type name="Report"&gt;27&lt;/ref-type&gt;&lt;contributors&gt;&lt;authors&gt;&lt;author&gt;DECC&lt;/author&gt;&lt;/authors&gt;&lt;/contributors&gt;&lt;titles&gt;&lt;title&gt;Updated Short-Term Traded Carbon Values used for UK Public Policy Appraisal&lt;/title&gt;&lt;/titles&gt;&lt;dates&gt;&lt;year&gt;2013&lt;/year&gt;&lt;/dates&gt;&lt;pub-location&gt;London, UK&lt;/pub-location&gt;&lt;publisher&gt;Department of Energy and Climate Change&lt;/publisher&gt;&lt;urls&gt;&lt;related-urls&gt;&lt;url&gt;https://www.gov.uk/government/uploads/system/uploads/attachment_data/file/240095/short-term_traded_carbon_values_used_for_UK_policy_appraisal_2013_FINAL_URN.pdf&lt;/url&gt;&lt;/related-urls&gt;&lt;/urls&gt;&lt;/record&gt;&lt;/Cite&gt;&lt;/EndNote&gt;</w:instrText>
      </w:r>
      <w:r w:rsidR="00A01786" w:rsidRPr="00B54BF2">
        <w:fldChar w:fldCharType="separate"/>
      </w:r>
      <w:r w:rsidR="00622AF5" w:rsidRPr="00622AF5">
        <w:rPr>
          <w:noProof/>
          <w:vertAlign w:val="superscript"/>
        </w:rPr>
        <w:t>25</w:t>
      </w:r>
      <w:r w:rsidR="00A01786" w:rsidRPr="00B54BF2">
        <w:fldChar w:fldCharType="end"/>
      </w:r>
      <w:r w:rsidR="009D0A1B">
        <w:t xml:space="preserve">), the minimum cost point is above </w:t>
      </w:r>
      <w:r w:rsidR="000F6C2D">
        <w:t xml:space="preserve">40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9D0A1B">
        <w:t>.</w:t>
      </w:r>
    </w:p>
    <w:p w14:paraId="4AADEEEC" w14:textId="77777777" w:rsidR="0052304F" w:rsidRDefault="0052304F" w:rsidP="0052304F">
      <w:pPr>
        <w:spacing w:line="480" w:lineRule="auto"/>
        <w:rPr>
          <w:sz w:val="24"/>
          <w:szCs w:val="24"/>
        </w:rPr>
      </w:pPr>
    </w:p>
    <w:p w14:paraId="73BF662C" w14:textId="422E6452" w:rsidR="00385460" w:rsidRPr="0094384E" w:rsidRDefault="003713F0" w:rsidP="0094384E">
      <w:pPr>
        <w:pStyle w:val="ListParagraph"/>
        <w:numPr>
          <w:ilvl w:val="0"/>
          <w:numId w:val="3"/>
        </w:numPr>
        <w:spacing w:line="480" w:lineRule="auto"/>
        <w:rPr>
          <w:b/>
          <w:sz w:val="24"/>
          <w:szCs w:val="24"/>
        </w:rPr>
      </w:pPr>
      <w:r w:rsidRPr="0094384E">
        <w:rPr>
          <w:b/>
          <w:sz w:val="24"/>
          <w:szCs w:val="24"/>
        </w:rPr>
        <w:t>Discussion</w:t>
      </w:r>
    </w:p>
    <w:p w14:paraId="153142DF" w14:textId="77777777" w:rsidR="00BF4767" w:rsidRDefault="00BF4767" w:rsidP="0052304F">
      <w:pPr>
        <w:spacing w:line="480" w:lineRule="auto"/>
      </w:pPr>
    </w:p>
    <w:p w14:paraId="10BF8DB0" w14:textId="77777777" w:rsidR="00385460" w:rsidRDefault="00191C47" w:rsidP="0052304F">
      <w:pPr>
        <w:spacing w:line="480" w:lineRule="auto"/>
      </w:pPr>
      <w:r w:rsidRPr="00B54BF2">
        <w:t>The simulations of indoor pollutant levels and resultant impacts on health at different levels of dwelling permeability illustrate the potential importance of ventilation in protecting health and the potential trade-off between health objectives on the one hand and those of improving energy efficiency and reducing carbon dioxide emissions on the other.</w:t>
      </w:r>
    </w:p>
    <w:p w14:paraId="1DDF2B4C" w14:textId="77777777" w:rsidR="00BF4767" w:rsidRPr="00B54BF2" w:rsidRDefault="00BF4767" w:rsidP="0052304F">
      <w:pPr>
        <w:spacing w:line="480" w:lineRule="auto"/>
      </w:pPr>
    </w:p>
    <w:p w14:paraId="6E05FF9F" w14:textId="33B32E69" w:rsidR="00BB621A" w:rsidRDefault="00191C47" w:rsidP="0052304F">
      <w:pPr>
        <w:spacing w:line="480" w:lineRule="auto"/>
      </w:pPr>
      <w:r w:rsidRPr="00B54BF2">
        <w:t xml:space="preserve">Although based on quite specific sets of assumptions and taking average values for a range of indoor pollutants, the primary conclusion seems clear: that reducing </w:t>
      </w:r>
      <w:r w:rsidRPr="00B54BF2">
        <w:lastRenderedPageBreak/>
        <w:t xml:space="preserve">permeability of dwellings to low levels </w:t>
      </w:r>
      <w:r w:rsidR="00124741">
        <w:t>without additional purpose-</w:t>
      </w:r>
      <w:r w:rsidR="00124741" w:rsidRPr="00124741">
        <w:t>provided ventilation</w:t>
      </w:r>
      <w:r w:rsidR="00124741">
        <w:t xml:space="preserve"> </w:t>
      </w:r>
      <w:r w:rsidRPr="00B54BF2">
        <w:t xml:space="preserve">is likely to have net adverse effects on human health, </w:t>
      </w:r>
      <w:r w:rsidR="004546AC">
        <w:t xml:space="preserve">and that </w:t>
      </w:r>
      <w:r w:rsidRPr="00B54BF2">
        <w:t xml:space="preserve">the </w:t>
      </w:r>
      <w:r w:rsidR="00DF3229">
        <w:t xml:space="preserve">monetized </w:t>
      </w:r>
      <w:r w:rsidRPr="00B54BF2">
        <w:t xml:space="preserve">costs of </w:t>
      </w:r>
      <w:r w:rsidR="004546AC">
        <w:t>those negative health effects</w:t>
      </w:r>
      <w:r w:rsidR="00D459ED">
        <w:t xml:space="preserve"> reach a point where they </w:t>
      </w:r>
      <w:r w:rsidRPr="00B54BF2">
        <w:t xml:space="preserve">exceed the potential </w:t>
      </w:r>
      <w:r w:rsidR="00D459ED">
        <w:t xml:space="preserve">(monetized) </w:t>
      </w:r>
      <w:r w:rsidRPr="00B54BF2">
        <w:t xml:space="preserve">benefits in terms of </w:t>
      </w:r>
      <w:r w:rsidR="00D459ED">
        <w:t xml:space="preserve">reduced </w:t>
      </w:r>
      <w:r w:rsidRPr="00B54BF2">
        <w:t>energy cost and CO</w:t>
      </w:r>
      <w:r w:rsidRPr="00B54BF2">
        <w:rPr>
          <w:vertAlign w:val="subscript"/>
        </w:rPr>
        <w:t>2</w:t>
      </w:r>
      <w:r w:rsidRPr="00B54BF2">
        <w:t xml:space="preserve"> emissions. The point of optimal permeability (which minimi</w:t>
      </w:r>
      <w:r w:rsidR="00317975" w:rsidRPr="00B54BF2">
        <w:t>z</w:t>
      </w:r>
      <w:r w:rsidRPr="00B54BF2">
        <w:t>e</w:t>
      </w:r>
      <w:r w:rsidR="00BF4767">
        <w:t xml:space="preserve">s </w:t>
      </w:r>
      <w:r w:rsidR="00BF4767" w:rsidRPr="00D459ED">
        <w:rPr>
          <w:i/>
        </w:rPr>
        <w:t>net</w:t>
      </w:r>
      <w:r w:rsidR="00BF4767">
        <w:t xml:space="preserve"> costs) will vary </w:t>
      </w:r>
      <w:r w:rsidR="0085538D">
        <w:t>from dwelling to dwelling a</w:t>
      </w:r>
      <w:r w:rsidRPr="00B54BF2">
        <w:t xml:space="preserve">nd </w:t>
      </w:r>
      <w:r w:rsidR="0085538D">
        <w:t xml:space="preserve">depend on </w:t>
      </w:r>
      <w:r w:rsidRPr="00B54BF2">
        <w:t xml:space="preserve">the assumptions made about the value of human life, the social costs of carbon dioxide and costs of fuel. </w:t>
      </w:r>
      <w:r w:rsidR="0085538D">
        <w:t xml:space="preserve">In circumstances where the carbon </w:t>
      </w:r>
      <w:r w:rsidR="005B3F9A">
        <w:t>savings and/or their monetiz</w:t>
      </w:r>
      <w:r w:rsidR="00E6003E">
        <w:t>ed costs are small, the point of optimal permeability may not be clearly defined</w:t>
      </w:r>
      <w:r w:rsidR="004B2836">
        <w:t>,</w:t>
      </w:r>
      <w:r w:rsidR="00E6003E">
        <w:t xml:space="preserve"> or indeed the </w:t>
      </w:r>
      <w:r w:rsidR="00BB621A">
        <w:t xml:space="preserve">net </w:t>
      </w:r>
      <w:r w:rsidR="00E6003E">
        <w:t xml:space="preserve">cost function may continue </w:t>
      </w:r>
      <w:r w:rsidR="00BB621A">
        <w:t xml:space="preserve">gradually </w:t>
      </w:r>
      <w:r w:rsidR="00E6003E">
        <w:t>to decline at higher and higher permeability levels</w:t>
      </w:r>
      <w:r w:rsidR="006B4E76">
        <w:t>; w</w:t>
      </w:r>
      <w:r w:rsidR="00E6003E">
        <w:t xml:space="preserve">here fuel costs and the social costs of carbon are high, the </w:t>
      </w:r>
      <w:r w:rsidR="00BB621A">
        <w:t xml:space="preserve">point of </w:t>
      </w:r>
      <w:r w:rsidR="00E6003E">
        <w:t>optimal permeability appears relatively well-defined. But for all net cost curves,</w:t>
      </w:r>
      <w:r w:rsidR="00D459ED">
        <w:t xml:space="preserve"> a point is reached at </w:t>
      </w:r>
      <w:r w:rsidR="00E6003E">
        <w:t>which t</w:t>
      </w:r>
      <w:r w:rsidR="004546AC">
        <w:t>he transition to dominant adverse effects on health</w:t>
      </w:r>
      <w:r w:rsidR="00E6003E">
        <w:t xml:space="preserve"> </w:t>
      </w:r>
      <w:r w:rsidR="00BB621A">
        <w:t xml:space="preserve">turns into a steep rise in net costs at lower </w:t>
      </w:r>
      <w:r w:rsidR="00601D28">
        <w:t xml:space="preserve">and lower permeability levels. </w:t>
      </w:r>
      <w:r w:rsidR="00BB621A">
        <w:t xml:space="preserve">Within the assumptions used for our simulations, this critical point of transition appears to occur at permeability values </w:t>
      </w:r>
      <w:r w:rsidR="00F852AB">
        <w:t xml:space="preserve">below around 7 </w:t>
      </w:r>
      <w:r w:rsidR="00BA48C0">
        <w:t>m</w:t>
      </w:r>
      <w:r w:rsidR="00BA48C0" w:rsidRPr="00BA48C0">
        <w:rPr>
          <w:vertAlign w:val="superscript"/>
        </w:rPr>
        <w:t>3</w:t>
      </w:r>
      <w:r w:rsidR="00BA48C0">
        <w:t xml:space="preserve"> m</w:t>
      </w:r>
      <w:r w:rsidR="00BA48C0" w:rsidRPr="00BA48C0">
        <w:rPr>
          <w:vertAlign w:val="superscript"/>
        </w:rPr>
        <w:t>-2</w:t>
      </w:r>
      <w:r w:rsidR="00BA48C0">
        <w:t xml:space="preserve"> hr</w:t>
      </w:r>
      <w:r w:rsidR="00BA48C0" w:rsidRPr="00BA48C0">
        <w:rPr>
          <w:vertAlign w:val="superscript"/>
        </w:rPr>
        <w:t>-1</w:t>
      </w:r>
      <w:r w:rsidR="00601D28">
        <w:t xml:space="preserve">. </w:t>
      </w:r>
      <w:r w:rsidR="00BB621A">
        <w:t>Below this level, the adverse consequences for health of exposure to pollutants of indoor origin rise rapidly and ever more steeply,</w:t>
      </w:r>
      <w:r w:rsidR="004277B9">
        <w:t xml:space="preserve"> while the net cost function </w:t>
      </w:r>
      <w:r w:rsidR="00C9201E">
        <w:t xml:space="preserve">typically </w:t>
      </w:r>
      <w:r w:rsidR="004277B9">
        <w:t>shows a shallower rate of change at permeability levels to the right of this point. Thus, there is a relatively severe penalty for reducing ventilation too much (below th</w:t>
      </w:r>
      <w:r w:rsidR="00F852AB">
        <w:t>e</w:t>
      </w:r>
      <w:r w:rsidR="004277B9">
        <w:t xml:space="preserve"> point of ‘critical transition’), and relatively minor penalty, or in some circumstances even a net benefit, of erring in the other direction towards </w:t>
      </w:r>
      <w:r w:rsidR="00960B4C">
        <w:t xml:space="preserve">greater </w:t>
      </w:r>
      <w:r w:rsidR="00F852AB">
        <w:t>permeability</w:t>
      </w:r>
      <w:r w:rsidR="00601D28">
        <w:t>.</w:t>
      </w:r>
      <w:r w:rsidR="004277B9">
        <w:t xml:space="preserve"> This observation suggest</w:t>
      </w:r>
      <w:r w:rsidR="00960B4C">
        <w:t>s</w:t>
      </w:r>
      <w:r w:rsidR="004277B9">
        <w:t xml:space="preserve"> an important point of principle, namely </w:t>
      </w:r>
      <w:r w:rsidR="004277B9">
        <w:lastRenderedPageBreak/>
        <w:t xml:space="preserve">that there is a target lower limit of permeability/ventilation which it would be unsafe </w:t>
      </w:r>
      <w:r w:rsidR="00960B4C">
        <w:t>to reduce further, while some latitude might be allowed for higher levels of ventilation</w:t>
      </w:r>
      <w:r w:rsidR="00AB0F07">
        <w:t xml:space="preserve">. </w:t>
      </w:r>
      <w:r w:rsidR="00F852AB">
        <w:t>(There are</w:t>
      </w:r>
      <w:r w:rsidR="00960B4C">
        <w:t xml:space="preserve"> relatively marginal changes in the balance of risks and benefits as permeability increases</w:t>
      </w:r>
      <w:r w:rsidR="00F852AB">
        <w:t xml:space="preserve"> towards higher levels</w:t>
      </w:r>
      <w:r w:rsidR="00960B4C">
        <w:t>.</w:t>
      </w:r>
      <w:r w:rsidR="00F852AB">
        <w:t>)</w:t>
      </w:r>
    </w:p>
    <w:p w14:paraId="6721CB1F" w14:textId="77777777" w:rsidR="00C9201E" w:rsidRDefault="00C9201E" w:rsidP="0052304F">
      <w:pPr>
        <w:spacing w:line="480" w:lineRule="auto"/>
      </w:pPr>
    </w:p>
    <w:p w14:paraId="3E6E2A53" w14:textId="5144F349" w:rsidR="00E87F0A" w:rsidRDefault="006D1C72" w:rsidP="0052304F">
      <w:pPr>
        <w:spacing w:line="480" w:lineRule="auto"/>
      </w:pPr>
      <w:r w:rsidRPr="00B54BF2">
        <w:t xml:space="preserve">The exact location </w:t>
      </w:r>
      <w:r w:rsidR="00960B4C">
        <w:t xml:space="preserve">of this critical point of transition will not be the same for all dwellings and households and will of course also be influenced by </w:t>
      </w:r>
      <w:r w:rsidRPr="00B54BF2">
        <w:t>which costs and benefits are included</w:t>
      </w:r>
      <w:r w:rsidR="004B2836">
        <w:t xml:space="preserve"> in the assessment</w:t>
      </w:r>
      <w:r w:rsidRPr="00B54BF2">
        <w:t xml:space="preserve">. It is worth noting that </w:t>
      </w:r>
      <w:r w:rsidR="00960B4C">
        <w:t xml:space="preserve">the analyses </w:t>
      </w:r>
      <w:r w:rsidR="003D67A7">
        <w:t>presented</w:t>
      </w:r>
      <w:r w:rsidR="00960B4C">
        <w:t xml:space="preserve"> here did not include </w:t>
      </w:r>
      <w:r w:rsidRPr="00B54BF2">
        <w:t xml:space="preserve">the capital costs of </w:t>
      </w:r>
      <w:r w:rsidR="00960B4C">
        <w:t xml:space="preserve">investments to </w:t>
      </w:r>
      <w:r w:rsidRPr="00B54BF2">
        <w:t>achiev</w:t>
      </w:r>
      <w:r w:rsidR="00960B4C">
        <w:t>e</w:t>
      </w:r>
      <w:r w:rsidRPr="00B54BF2">
        <w:t xml:space="preserve"> lower levels of permeability</w:t>
      </w:r>
      <w:r w:rsidR="00960B4C">
        <w:t xml:space="preserve"> (</w:t>
      </w:r>
      <w:r w:rsidRPr="00B54BF2">
        <w:t xml:space="preserve">which </w:t>
      </w:r>
      <w:r w:rsidR="00317975" w:rsidRPr="00B54BF2">
        <w:t xml:space="preserve">would </w:t>
      </w:r>
      <w:r w:rsidRPr="00B54BF2">
        <w:t>i</w:t>
      </w:r>
      <w:r w:rsidR="00317975" w:rsidRPr="00B54BF2">
        <w:t xml:space="preserve">n </w:t>
      </w:r>
      <w:r w:rsidRPr="00B54BF2">
        <w:t xml:space="preserve">part offset the net gain in </w:t>
      </w:r>
      <w:r w:rsidR="00960B4C">
        <w:t xml:space="preserve">energy </w:t>
      </w:r>
      <w:r w:rsidRPr="00B54BF2">
        <w:t>cost savings to the householder</w:t>
      </w:r>
      <w:r w:rsidR="00C9201E">
        <w:t xml:space="preserve"> at lower permeability</w:t>
      </w:r>
      <w:r w:rsidR="00960B4C">
        <w:t>)</w:t>
      </w:r>
      <w:r w:rsidR="00317975" w:rsidRPr="00B54BF2">
        <w:t xml:space="preserve">, </w:t>
      </w:r>
      <w:r w:rsidR="00960B4C">
        <w:t xml:space="preserve">nor did they include </w:t>
      </w:r>
      <w:r w:rsidR="00317975" w:rsidRPr="00B54BF2">
        <w:t>the potential impacts of improved winter temperatures on health, though these are likely to be small</w:t>
      </w:r>
      <w:r w:rsidR="00960B4C">
        <w:t>.</w:t>
      </w:r>
      <w:r w:rsidR="004355E4">
        <w:fldChar w:fldCharType="begin"/>
      </w:r>
      <w:r w:rsidR="00622AF5">
        <w:instrText xml:space="preserve"> ADDIN EN.CITE &lt;EndNote&gt;&lt;Cite&gt;&lt;Author&gt;Milner&lt;/Author&gt;&lt;Year&gt;2014&lt;/Year&gt;&lt;RecNum&gt;29&lt;/RecNum&gt;&lt;DisplayText&gt;&lt;style face="superscript"&gt;26&lt;/style&gt;&lt;/DisplayText&gt;&lt;record&gt;&lt;rec-number&gt;29&lt;/rec-number&gt;&lt;foreign-keys&gt;&lt;key app="EN" db-id="v2x05fr5xze0tkez0psxzdxyvvstv22t5s5e"&gt;29&lt;/key&gt;&lt;/foreign-keys&gt;&lt;ref-type name="Report"&gt;27&lt;/ref-type&gt;&lt;contributors&gt;&lt;authors&gt;&lt;author&gt;Milner, J.&lt;/author&gt;&lt;author&gt;Chalabi, Z.&lt;/author&gt;&lt;author&gt;Wilkinson, P.&lt;/author&gt;&lt;author&gt;Armstrong, B.&lt;/author&gt;&lt;author&gt;Cairns, J.&lt;/author&gt;&lt;author&gt;Duffy, S.&lt;/author&gt;&lt;author&gt;Hajat, S.&lt;/author&gt;&lt;author&gt;Jones, L.&lt;/author&gt;&lt;author&gt;Petticrew, M.&lt;/author&gt;&lt;author&gt;Scovronik, N.&lt;/author&gt;&lt;/authors&gt;&lt;/contributors&gt;&lt;titles&gt;&lt;title&gt;Evidence Review and Economic Analysis of Excess Winter Deaths. Review 2: Interventions and Economic Studies&lt;/title&gt;&lt;/titles&gt;&lt;dates&gt;&lt;year&gt;2014&lt;/year&gt;&lt;/dates&gt;&lt;pub-location&gt;London, UK&lt;/pub-location&gt;&lt;publisher&gt;Report for the National Institute for Health and Care Excellence (NICE)&lt;/publisher&gt;&lt;urls&gt;&lt;/urls&gt;&lt;/record&gt;&lt;/Cite&gt;&lt;/EndNote&gt;</w:instrText>
      </w:r>
      <w:r w:rsidR="004355E4">
        <w:fldChar w:fldCharType="separate"/>
      </w:r>
      <w:r w:rsidR="00622AF5" w:rsidRPr="00622AF5">
        <w:rPr>
          <w:noProof/>
          <w:vertAlign w:val="superscript"/>
        </w:rPr>
        <w:t>26</w:t>
      </w:r>
      <w:r w:rsidR="004355E4">
        <w:fldChar w:fldCharType="end"/>
      </w:r>
      <w:r w:rsidRPr="00B54BF2">
        <w:t xml:space="preserve"> </w:t>
      </w:r>
      <w:r w:rsidR="004B2836">
        <w:t xml:space="preserve">It is also worth noting that the potential adverse consequences of increasing concentrations of pollutants of indoor origin </w:t>
      </w:r>
      <w:r w:rsidR="006B4E76">
        <w:t xml:space="preserve">at low permeability levels </w:t>
      </w:r>
      <w:r w:rsidR="00C9201E">
        <w:t>c</w:t>
      </w:r>
      <w:r w:rsidR="004B2836">
        <w:t>ould</w:t>
      </w:r>
      <w:r w:rsidR="00C9201E">
        <w:t xml:space="preserve">, in theory, </w:t>
      </w:r>
      <w:r w:rsidR="004B2836">
        <w:t xml:space="preserve">be avoided by use of mechanical ventilation and heat recovery </w:t>
      </w:r>
      <w:r w:rsidR="00C9201E">
        <w:t xml:space="preserve">(MVHR) </w:t>
      </w:r>
      <w:r w:rsidR="004B2836">
        <w:t>systems</w:t>
      </w:r>
      <w:r w:rsidR="006B4E76">
        <w:t xml:space="preserve">, </w:t>
      </w:r>
      <w:r w:rsidR="00573A67">
        <w:t>al</w:t>
      </w:r>
      <w:r w:rsidR="006B4E76">
        <w:t xml:space="preserve">though it would be difficult to achieve the </w:t>
      </w:r>
      <w:r w:rsidR="00F852AB">
        <w:t xml:space="preserve">level of permeability </w:t>
      </w:r>
      <w:r w:rsidR="006B4E76">
        <w:t xml:space="preserve">required for </w:t>
      </w:r>
      <w:r w:rsidR="00C9201E">
        <w:t xml:space="preserve">MVHR installation in </w:t>
      </w:r>
      <w:r w:rsidR="006B4E76">
        <w:t>many existing dwellings</w:t>
      </w:r>
      <w:r w:rsidR="004B2836">
        <w:t xml:space="preserve">. </w:t>
      </w:r>
      <w:r w:rsidR="00F852AB">
        <w:t xml:space="preserve">(In any case, </w:t>
      </w:r>
      <w:r w:rsidR="00AF1387">
        <w:t xml:space="preserve">there is evidence to suggest </w:t>
      </w:r>
      <w:r w:rsidR="00AF1387" w:rsidRPr="00AF1387">
        <w:t>MVHR systems may not necessarily improve indoor air quality due to ineffective use</w:t>
      </w:r>
      <w:r w:rsidR="00AF1387">
        <w:t xml:space="preserve"> and poor maintenance</w:t>
      </w:r>
      <w:r w:rsidR="009B3F42">
        <w:t>.</w:t>
      </w:r>
      <w:r w:rsidR="00AF1387">
        <w:fldChar w:fldCharType="begin"/>
      </w:r>
      <w:r w:rsidR="00AF1387">
        <w:instrText xml:space="preserve"> ADDIN EN.CITE &lt;EndNote&gt;&lt;Cite&gt;&lt;Author&gt;Balvers&lt;/Author&gt;&lt;Year&gt;2012&lt;/Year&gt;&lt;RecNum&gt;32&lt;/RecNum&gt;&lt;DisplayText&gt;&lt;style face="superscript"&gt;27&lt;/style&gt;&lt;/DisplayText&gt;&lt;record&gt;&lt;rec-number&gt;32&lt;/rec-number&gt;&lt;foreign-keys&gt;&lt;key app="EN" db-id="v2x05fr5xze0tkez0psxzdxyvvstv22t5s5e"&gt;32&lt;/key&gt;&lt;/foreign-keys&gt;&lt;ref-type name="Journal Article"&gt;17&lt;/ref-type&gt;&lt;contributors&gt;&lt;authors&gt;&lt;author&gt;Balvers, J.&lt;/author&gt;&lt;author&gt;Bogers, R.&lt;/author&gt;&lt;author&gt;Jongeneel, R.&lt;/author&gt;&lt;author&gt;van Kamp, I.&lt;/author&gt;&lt;author&gt;Boerstra, A.&lt;/author&gt;&lt;author&gt;van Dijken, F.&lt;/author&gt;&lt;/authors&gt;&lt;/contributors&gt;&lt;titles&gt;&lt;title&gt;Mechanical ventilation in recently built Dutch homes: technical shortcomings, possibilities for improvement, perceived indoor environment and health effects&lt;/title&gt;&lt;secondary-title&gt;Architectural Science Review&lt;/secondary-title&gt;&lt;/titles&gt;&lt;periodical&gt;&lt;full-title&gt;Architectural Science Review&lt;/full-title&gt;&lt;/periodical&gt;&lt;pages&gt;4–14&lt;/pages&gt;&lt;volume&gt;55&lt;/volume&gt;&lt;dates&gt;&lt;year&gt;2012&lt;/year&gt;&lt;/dates&gt;&lt;urls&gt;&lt;/urls&gt;&lt;/record&gt;&lt;/Cite&gt;&lt;/EndNote&gt;</w:instrText>
      </w:r>
      <w:r w:rsidR="00AF1387">
        <w:fldChar w:fldCharType="separate"/>
      </w:r>
      <w:r w:rsidR="00AF1387" w:rsidRPr="00AF1387">
        <w:rPr>
          <w:noProof/>
          <w:vertAlign w:val="superscript"/>
        </w:rPr>
        <w:t>27</w:t>
      </w:r>
      <w:r w:rsidR="00AF1387">
        <w:fldChar w:fldCharType="end"/>
      </w:r>
      <w:r w:rsidR="00F852AB">
        <w:t>)</w:t>
      </w:r>
      <w:r w:rsidR="009B3F42">
        <w:t xml:space="preserve"> </w:t>
      </w:r>
      <w:r w:rsidR="00E87F0A">
        <w:t>It is also noteworthy that</w:t>
      </w:r>
      <w:r w:rsidR="00573A67">
        <w:t xml:space="preserve"> if</w:t>
      </w:r>
      <w:r w:rsidR="00E87F0A">
        <w:t xml:space="preserve"> energy sources are decarbonized</w:t>
      </w:r>
      <w:r w:rsidR="00573A67">
        <w:t xml:space="preserve"> over time</w:t>
      </w:r>
      <w:r w:rsidR="00E87F0A">
        <w:t>, the CO</w:t>
      </w:r>
      <w:r w:rsidR="00E87F0A" w:rsidRPr="00573A67">
        <w:rPr>
          <w:vertAlign w:val="subscript"/>
        </w:rPr>
        <w:t>2</w:t>
      </w:r>
      <w:r w:rsidR="00E87F0A">
        <w:t xml:space="preserve"> benefits of ventilation control </w:t>
      </w:r>
      <w:r w:rsidR="00573A67">
        <w:t xml:space="preserve">will also </w:t>
      </w:r>
      <w:r w:rsidR="00E87F0A">
        <w:t xml:space="preserve">diminish, as </w:t>
      </w:r>
      <w:r w:rsidR="00573A67">
        <w:t xml:space="preserve">would </w:t>
      </w:r>
      <w:r w:rsidR="00164A48">
        <w:t xml:space="preserve">benefits </w:t>
      </w:r>
      <w:r w:rsidR="00E87F0A">
        <w:t>from the reduc</w:t>
      </w:r>
      <w:r w:rsidR="00573A67">
        <w:t>ed</w:t>
      </w:r>
      <w:r w:rsidR="00E87F0A">
        <w:t xml:space="preserve"> ingress </w:t>
      </w:r>
      <w:r w:rsidR="00E87F0A">
        <w:lastRenderedPageBreak/>
        <w:t xml:space="preserve">of outdoor </w:t>
      </w:r>
      <w:r w:rsidR="00573A67">
        <w:t xml:space="preserve">pollution </w:t>
      </w:r>
      <w:r w:rsidR="00E87F0A">
        <w:t xml:space="preserve">as outdoor </w:t>
      </w:r>
      <w:r w:rsidR="00573A67">
        <w:t>PM</w:t>
      </w:r>
      <w:r w:rsidR="00573A67" w:rsidRPr="00573A67">
        <w:rPr>
          <w:vertAlign w:val="subscript"/>
        </w:rPr>
        <w:t>2.5</w:t>
      </w:r>
      <w:r w:rsidR="00573A67">
        <w:t xml:space="preserve"> </w:t>
      </w:r>
      <w:r w:rsidR="00E87F0A">
        <w:t>levels</w:t>
      </w:r>
      <w:r w:rsidR="00601D28">
        <w:t xml:space="preserve"> will also be lower. </w:t>
      </w:r>
      <w:r w:rsidR="00573A67">
        <w:t>These factors will tend to reduce the benefits of lower permeability levels.</w:t>
      </w:r>
    </w:p>
    <w:p w14:paraId="42B6C227" w14:textId="77777777" w:rsidR="00573A67" w:rsidRDefault="00573A67" w:rsidP="0052304F">
      <w:pPr>
        <w:spacing w:line="480" w:lineRule="auto"/>
      </w:pPr>
    </w:p>
    <w:p w14:paraId="0BDE3651" w14:textId="12053B36" w:rsidR="00C02090" w:rsidRPr="00B54BF2" w:rsidRDefault="00317975" w:rsidP="0052304F">
      <w:pPr>
        <w:spacing w:line="480" w:lineRule="auto"/>
      </w:pPr>
      <w:r w:rsidRPr="00B54BF2">
        <w:t xml:space="preserve">It is </w:t>
      </w:r>
      <w:r w:rsidR="00F852AB">
        <w:t xml:space="preserve">also </w:t>
      </w:r>
      <w:r w:rsidRPr="00B54BF2">
        <w:t xml:space="preserve">important to be aware that our simulations have </w:t>
      </w:r>
      <w:r w:rsidR="00573A67">
        <w:t xml:space="preserve">entailed </w:t>
      </w:r>
      <w:r w:rsidR="00F852AB">
        <w:t xml:space="preserve">many </w:t>
      </w:r>
      <w:r w:rsidRPr="00B54BF2">
        <w:t>assumptions and</w:t>
      </w:r>
      <w:r w:rsidR="00573A67">
        <w:t xml:space="preserve"> </w:t>
      </w:r>
      <w:r w:rsidRPr="00B54BF2">
        <w:t>examined only a limited set of permutations of dwelling and other characteristics</w:t>
      </w:r>
      <w:r w:rsidR="008B5384">
        <w:t xml:space="preserve">. </w:t>
      </w:r>
      <w:r w:rsidRPr="00B54BF2">
        <w:t xml:space="preserve">Results are likely to vary appreciably </w:t>
      </w:r>
      <w:r w:rsidR="00573A67">
        <w:t xml:space="preserve">with </w:t>
      </w:r>
      <w:r w:rsidRPr="00B54BF2">
        <w:t xml:space="preserve">such factors as </w:t>
      </w:r>
      <w:r w:rsidR="00573A67">
        <w:t xml:space="preserve">dwelling type, </w:t>
      </w:r>
      <w:r w:rsidRPr="00B54BF2">
        <w:t>outdoor pollution concentrations and soil types</w:t>
      </w:r>
      <w:r w:rsidR="00573A67">
        <w:t xml:space="preserve"> (</w:t>
      </w:r>
      <w:r w:rsidRPr="00B54BF2">
        <w:t>which may influence radon emissions</w:t>
      </w:r>
      <w:r w:rsidR="00573A67">
        <w:t>)</w:t>
      </w:r>
      <w:r w:rsidRPr="00B54BF2">
        <w:t xml:space="preserve">, as well as whether the household contains </w:t>
      </w:r>
      <w:r w:rsidR="00573A67">
        <w:t xml:space="preserve">any </w:t>
      </w:r>
      <w:r w:rsidRPr="00B54BF2">
        <w:t xml:space="preserve">smokers. </w:t>
      </w:r>
      <w:r w:rsidR="00E87F0A">
        <w:t>We also made an important but challengeable assumption that particles of indoor origin are equally toxic as those derived from the outdoor air, an assumption that has obvious bearing on the relative impact of the reduced ingress of pollution from outside and that of pollutants derived from indoor sources when dwellings are tightened.</w:t>
      </w:r>
      <w:r w:rsidR="00601D28">
        <w:t xml:space="preserve"> </w:t>
      </w:r>
      <w:r w:rsidR="00A11489" w:rsidRPr="00B54BF2">
        <w:t xml:space="preserve">The net costs and benefits </w:t>
      </w:r>
      <w:r w:rsidR="00C02090" w:rsidRPr="00B54BF2">
        <w:t xml:space="preserve">were </w:t>
      </w:r>
      <w:r w:rsidR="00A11489" w:rsidRPr="00B54BF2">
        <w:t>also limited to</w:t>
      </w:r>
      <w:r w:rsidR="00A276B1" w:rsidRPr="00B54BF2">
        <w:t xml:space="preserve"> the monetiz</w:t>
      </w:r>
      <w:r w:rsidR="00A11489" w:rsidRPr="00B54BF2">
        <w:t>ed cost of health impact, the social costs of CO</w:t>
      </w:r>
      <w:r w:rsidR="00A11489" w:rsidRPr="00B54BF2">
        <w:rPr>
          <w:vertAlign w:val="subscript"/>
        </w:rPr>
        <w:t>2</w:t>
      </w:r>
      <w:r w:rsidR="00A11489" w:rsidRPr="00B54BF2">
        <w:t xml:space="preserve"> emissions and direct fuel costs, but exclude</w:t>
      </w:r>
      <w:r w:rsidR="00C02090" w:rsidRPr="00B54BF2">
        <w:t>d</w:t>
      </w:r>
      <w:r w:rsidR="00A11489" w:rsidRPr="00B54BF2">
        <w:t xml:space="preserve"> other potential benefits </w:t>
      </w:r>
      <w:r w:rsidR="00A276B1" w:rsidRPr="00B54BF2">
        <w:t>and costs</w:t>
      </w:r>
      <w:r w:rsidR="00A11489" w:rsidRPr="00B54BF2">
        <w:t xml:space="preserve">, </w:t>
      </w:r>
      <w:r w:rsidR="00573A67">
        <w:t xml:space="preserve">including, for example, changes in </w:t>
      </w:r>
      <w:r w:rsidR="00A276B1" w:rsidRPr="00B54BF2">
        <w:t>health care treatment or social care costs</w:t>
      </w:r>
      <w:r w:rsidRPr="00B54BF2">
        <w:t>.</w:t>
      </w:r>
    </w:p>
    <w:p w14:paraId="4C24C15E" w14:textId="77777777" w:rsidR="00BF4767" w:rsidRDefault="00BF4767" w:rsidP="0052304F">
      <w:pPr>
        <w:spacing w:line="480" w:lineRule="auto"/>
      </w:pPr>
    </w:p>
    <w:p w14:paraId="32ED2DA3" w14:textId="30764EFA" w:rsidR="004174E8" w:rsidRPr="0094384E" w:rsidRDefault="004174E8" w:rsidP="0094384E">
      <w:pPr>
        <w:pStyle w:val="ListParagraph"/>
        <w:numPr>
          <w:ilvl w:val="0"/>
          <w:numId w:val="3"/>
        </w:numPr>
        <w:spacing w:line="480" w:lineRule="auto"/>
        <w:rPr>
          <w:b/>
          <w:sz w:val="24"/>
          <w:szCs w:val="24"/>
        </w:rPr>
      </w:pPr>
      <w:r w:rsidRPr="0094384E">
        <w:rPr>
          <w:b/>
          <w:sz w:val="24"/>
          <w:szCs w:val="24"/>
        </w:rPr>
        <w:t>Conclusions</w:t>
      </w:r>
    </w:p>
    <w:p w14:paraId="61C22B1B" w14:textId="77777777" w:rsidR="0052304F" w:rsidRDefault="0052304F" w:rsidP="0052304F">
      <w:pPr>
        <w:spacing w:line="480" w:lineRule="auto"/>
      </w:pPr>
    </w:p>
    <w:p w14:paraId="66D6883B" w14:textId="58981CCC" w:rsidR="00C02090" w:rsidRDefault="00C02090" w:rsidP="0052304F">
      <w:pPr>
        <w:spacing w:line="480" w:lineRule="auto"/>
      </w:pPr>
      <w:r w:rsidRPr="00B54BF2">
        <w:t>In conclusion, our analysis demonstrates potential trade-offs for health with the reduction of uncontrolled ventilation of dwellings in pursuit of</w:t>
      </w:r>
      <w:r w:rsidR="008B5384">
        <w:t xml:space="preserve"> energy efficiency </w:t>
      </w:r>
      <w:r w:rsidR="008B5384">
        <w:lastRenderedPageBreak/>
        <w:t xml:space="preserve">objectives. </w:t>
      </w:r>
      <w:r w:rsidRPr="00B54BF2">
        <w:t>While such reduction may make a modest contribution to improving energy efficiency and will help protect against outdoor pollutants, there is a danger, especially at relati</w:t>
      </w:r>
      <w:r w:rsidR="008254EB">
        <w:t xml:space="preserve">vely low levels of permeability, </w:t>
      </w:r>
      <w:r w:rsidRPr="00B54BF2">
        <w:t>of substantial increase</w:t>
      </w:r>
      <w:r w:rsidR="00F10563">
        <w:t>s</w:t>
      </w:r>
      <w:r w:rsidRPr="00B54BF2">
        <w:t xml:space="preserve"> in pollutants derived from indoor sources. Such increases may carry appreciable dis-benefits for health. The level of permeability at which there is ‘optimal’ trade-off between such dis-benefits and the positive effects on energy efficiency, indoor temperature and protection against outdoor pollutants, will vary from dwelling to dwelling, but based</w:t>
      </w:r>
      <w:r w:rsidR="00F852AB">
        <w:t xml:space="preserve"> on the limited evidence of our current </w:t>
      </w:r>
      <w:r w:rsidRPr="00B54BF2">
        <w:t>simulations, it would seem prudent to avoid measures aimed at reducing permeability and hence air exchange to very low levels.</w:t>
      </w:r>
    </w:p>
    <w:p w14:paraId="0A87F835" w14:textId="77777777" w:rsidR="003713F0" w:rsidRDefault="003713F0" w:rsidP="0052304F">
      <w:pPr>
        <w:spacing w:line="480" w:lineRule="auto"/>
      </w:pPr>
    </w:p>
    <w:p w14:paraId="77C7E47B" w14:textId="1F5E0B11" w:rsidR="003713F0" w:rsidRPr="0094384E" w:rsidRDefault="003713F0" w:rsidP="0052304F">
      <w:pPr>
        <w:spacing w:line="480" w:lineRule="auto"/>
        <w:rPr>
          <w:b/>
          <w:sz w:val="24"/>
          <w:szCs w:val="24"/>
        </w:rPr>
      </w:pPr>
      <w:r>
        <w:br w:type="page"/>
      </w:r>
      <w:r w:rsidRPr="0094384E">
        <w:rPr>
          <w:b/>
          <w:sz w:val="24"/>
          <w:szCs w:val="24"/>
        </w:rPr>
        <w:lastRenderedPageBreak/>
        <w:t>Acknowledgements</w:t>
      </w:r>
    </w:p>
    <w:p w14:paraId="16B0273E" w14:textId="77777777" w:rsidR="003713F0" w:rsidRDefault="003713F0" w:rsidP="0052304F">
      <w:pPr>
        <w:spacing w:line="480" w:lineRule="auto"/>
      </w:pPr>
    </w:p>
    <w:p w14:paraId="3506EC96" w14:textId="4116442D" w:rsidR="003713F0" w:rsidRPr="00B54BF2" w:rsidRDefault="004454A6" w:rsidP="0052304F">
      <w:pPr>
        <w:spacing w:line="480" w:lineRule="auto"/>
        <w:sectPr w:rsidR="003713F0" w:rsidRPr="00B54BF2" w:rsidSect="00B54BF2">
          <w:footerReference w:type="default" r:id="rId9"/>
          <w:pgSz w:w="11906" w:h="16838"/>
          <w:pgMar w:top="2268" w:right="2268" w:bottom="2268" w:left="2268" w:header="709" w:footer="709" w:gutter="0"/>
          <w:cols w:space="708"/>
          <w:docGrid w:linePitch="360"/>
        </w:sectPr>
      </w:pPr>
      <w:r w:rsidRPr="004454A6">
        <w:t>The research leading to these results has received funding from the European Union Seventh Framework Programme FP7/2007-2013 under grant agreement no 265325 (PURGE).</w:t>
      </w:r>
    </w:p>
    <w:p w14:paraId="4F353239" w14:textId="0DFF8F23" w:rsidR="001D26F1" w:rsidRPr="0094384E" w:rsidRDefault="008B5384" w:rsidP="00DD030E">
      <w:pPr>
        <w:spacing w:line="480" w:lineRule="auto"/>
        <w:rPr>
          <w:b/>
          <w:sz w:val="24"/>
          <w:szCs w:val="24"/>
        </w:rPr>
      </w:pPr>
      <w:r w:rsidRPr="0094384E">
        <w:rPr>
          <w:b/>
          <w:sz w:val="24"/>
          <w:szCs w:val="24"/>
        </w:rPr>
        <w:lastRenderedPageBreak/>
        <w:t>References</w:t>
      </w:r>
    </w:p>
    <w:p w14:paraId="4D767657" w14:textId="77777777" w:rsidR="00774F69" w:rsidRPr="00774F69" w:rsidRDefault="006E2FC1" w:rsidP="00774F69">
      <w:pPr>
        <w:pStyle w:val="EndNoteBibliography"/>
        <w:spacing w:after="0" w:line="480" w:lineRule="auto"/>
      </w:pPr>
      <w:r w:rsidRPr="00B54BF2">
        <w:fldChar w:fldCharType="begin"/>
      </w:r>
      <w:r w:rsidRPr="00B54BF2">
        <w:instrText xml:space="preserve"> ADDIN EN.REFLIST </w:instrText>
      </w:r>
      <w:r w:rsidRPr="00B54BF2">
        <w:fldChar w:fldCharType="separate"/>
      </w:r>
      <w:r w:rsidR="00774F69" w:rsidRPr="00774F69">
        <w:t>1.</w:t>
      </w:r>
      <w:r w:rsidR="00774F69" w:rsidRPr="00774F69">
        <w:tab/>
        <w:t>DECC. 2013 UK Greenhouse Gas Emissions. Provisional Figures and 2012 UK Greenhouse Gas Emissions. Final Figures by Fuel Type and End-User. London, UK: Department of Energy and Climate Change, 2014.</w:t>
      </w:r>
    </w:p>
    <w:p w14:paraId="381896FD" w14:textId="77777777" w:rsidR="00774F69" w:rsidRPr="00774F69" w:rsidRDefault="00774F69" w:rsidP="00774F69">
      <w:pPr>
        <w:pStyle w:val="EndNoteBibliography"/>
        <w:spacing w:after="0" w:line="480" w:lineRule="auto"/>
      </w:pPr>
      <w:r w:rsidRPr="00774F69">
        <w:t>2.</w:t>
      </w:r>
      <w:r w:rsidRPr="00774F69">
        <w:tab/>
        <w:t>DECC. The UK Low Carbon Transition Plan: National Strategy for Climate and Energy. London, UK: Department of Energy and Climate Change, 2009.</w:t>
      </w:r>
    </w:p>
    <w:p w14:paraId="1E36FB5A" w14:textId="77777777" w:rsidR="00774F69" w:rsidRPr="00774F69" w:rsidRDefault="00774F69" w:rsidP="00774F69">
      <w:pPr>
        <w:pStyle w:val="EndNoteBibliography"/>
        <w:spacing w:after="0" w:line="480" w:lineRule="auto"/>
      </w:pPr>
      <w:r w:rsidRPr="00774F69">
        <w:t>3.</w:t>
      </w:r>
      <w:r w:rsidRPr="00774F69">
        <w:tab/>
        <w:t>UK CCC. Fourth Carbon Budget. London, UK: UK Committee on Climate Change, 2010.</w:t>
      </w:r>
    </w:p>
    <w:p w14:paraId="3F560261" w14:textId="77777777" w:rsidR="00774F69" w:rsidRPr="00774F69" w:rsidRDefault="00774F69" w:rsidP="00774F69">
      <w:pPr>
        <w:pStyle w:val="EndNoteBibliography"/>
        <w:spacing w:after="0" w:line="480" w:lineRule="auto"/>
      </w:pPr>
      <w:r w:rsidRPr="00774F69">
        <w:t>4.</w:t>
      </w:r>
      <w:r w:rsidRPr="00774F69">
        <w:tab/>
        <w:t>Milner J, Shrubsole C, Das P, Jones B, Ridley I, Chalabi Z, Hamilton I, Armstrong B, Davies M, Wilkinson P. Home energy efficiency and radon related risk of lung cancer: modelling study. Bmj 2014; 348: f7493</w:t>
      </w:r>
    </w:p>
    <w:p w14:paraId="26A75416" w14:textId="77777777" w:rsidR="00774F69" w:rsidRPr="00774F69" w:rsidRDefault="00774F69" w:rsidP="00774F69">
      <w:pPr>
        <w:pStyle w:val="EndNoteBibliography"/>
        <w:spacing w:after="0" w:line="480" w:lineRule="auto"/>
      </w:pPr>
      <w:r w:rsidRPr="00774F69">
        <w:t>5.</w:t>
      </w:r>
      <w:r w:rsidRPr="00774F69">
        <w:tab/>
        <w:t>Hänninen OO, Palonen J, Tuomisto JT, Yli-Tuomi T, Seppänen O, Jantunen MJ. Reduction potential of urban PM</w:t>
      </w:r>
      <w:r w:rsidRPr="00774F69">
        <w:rPr>
          <w:vertAlign w:val="subscript"/>
        </w:rPr>
        <w:t>2.5</w:t>
      </w:r>
      <w:r w:rsidRPr="00774F69">
        <w:t xml:space="preserve"> mortality risk using modern ventilation systems in buildings. Indoor Air 2005; 15: 246-56</w:t>
      </w:r>
    </w:p>
    <w:p w14:paraId="5FABB310" w14:textId="77777777" w:rsidR="00774F69" w:rsidRPr="00774F69" w:rsidRDefault="00774F69" w:rsidP="00774F69">
      <w:pPr>
        <w:pStyle w:val="EndNoteBibliography"/>
        <w:spacing w:after="0" w:line="480" w:lineRule="auto"/>
      </w:pPr>
      <w:r w:rsidRPr="00774F69">
        <w:t>6.</w:t>
      </w:r>
      <w:r w:rsidRPr="00774F69">
        <w:tab/>
        <w:t>Oreszczyn T, Hong S, Ridley I, Wilkinson P. Determinants of winter indoor temperatures in low income households in England. Energy and Buildings 2006; 38: 245-52</w:t>
      </w:r>
    </w:p>
    <w:p w14:paraId="359C39A2" w14:textId="77777777" w:rsidR="00774F69" w:rsidRPr="00774F69" w:rsidRDefault="00774F69" w:rsidP="00774F69">
      <w:pPr>
        <w:pStyle w:val="EndNoteBibliography"/>
        <w:spacing w:after="0" w:line="480" w:lineRule="auto"/>
      </w:pPr>
      <w:r w:rsidRPr="00774F69">
        <w:t>7.</w:t>
      </w:r>
      <w:r w:rsidRPr="00774F69">
        <w:tab/>
        <w:t>Das P, Chalabi Z, Jones B, Milner J, Shrubsole C, Davies M, Hamilton I, Ridley I, Wilkinson P. Multi-objective methods for determining optimal ventilation rates in dwellings. Building and Environment 2013; 66: 72-81</w:t>
      </w:r>
    </w:p>
    <w:p w14:paraId="6FBD17ED" w14:textId="77777777" w:rsidR="00774F69" w:rsidRPr="00774F69" w:rsidRDefault="00774F69" w:rsidP="00774F69">
      <w:pPr>
        <w:pStyle w:val="EndNoteBibliography"/>
        <w:spacing w:after="0" w:line="480" w:lineRule="auto"/>
      </w:pPr>
      <w:r w:rsidRPr="00774F69">
        <w:t>8.</w:t>
      </w:r>
      <w:r w:rsidRPr="00774F69">
        <w:tab/>
        <w:t>Emmerich SJ. Validation of multizone IAQ modeling of residential-scale buildings: a review. ASHRAE Transactions 2001; 107(2): 1-10</w:t>
      </w:r>
    </w:p>
    <w:p w14:paraId="2C696E3D" w14:textId="77777777" w:rsidR="00774F69" w:rsidRPr="00774F69" w:rsidRDefault="00774F69" w:rsidP="00774F69">
      <w:pPr>
        <w:pStyle w:val="EndNoteBibliography"/>
        <w:spacing w:after="0" w:line="480" w:lineRule="auto"/>
      </w:pPr>
      <w:r w:rsidRPr="00774F69">
        <w:lastRenderedPageBreak/>
        <w:t>9.</w:t>
      </w:r>
      <w:r w:rsidRPr="00774F69">
        <w:tab/>
        <w:t>Haghighat F, Li H. Building airflow movement - validation of three air flow models. Journal of Architectural and Planning Research 2004; 21: 331-49</w:t>
      </w:r>
    </w:p>
    <w:p w14:paraId="1924F37D" w14:textId="77777777" w:rsidR="00774F69" w:rsidRPr="00774F69" w:rsidRDefault="00774F69" w:rsidP="00774F69">
      <w:pPr>
        <w:pStyle w:val="EndNoteBibliography"/>
        <w:spacing w:after="0" w:line="480" w:lineRule="auto"/>
      </w:pPr>
      <w:r w:rsidRPr="00774F69">
        <w:t>10.</w:t>
      </w:r>
      <w:r w:rsidRPr="00774F69">
        <w:tab/>
        <w:t>Walton GN, Dols WS. CONTAM 2.4c User Guide and Program Documentation. NISTIR 7251. Gaithersburg, MD, USA: National Institute of Standards and Technology, 2006.</w:t>
      </w:r>
    </w:p>
    <w:p w14:paraId="254DF31B" w14:textId="77777777" w:rsidR="00774F69" w:rsidRPr="00774F69" w:rsidRDefault="00774F69" w:rsidP="00774F69">
      <w:pPr>
        <w:pStyle w:val="EndNoteBibliography"/>
        <w:spacing w:after="0" w:line="480" w:lineRule="auto"/>
      </w:pPr>
      <w:r w:rsidRPr="00774F69">
        <w:t>11.</w:t>
      </w:r>
      <w:r w:rsidRPr="00774F69">
        <w:tab/>
        <w:t>Fang J, Persily A. Computer smulations of airflow and radon transport in four large buildings. Gaithersburg, MD, USA: National Institute of Standards and Technology, 1995.</w:t>
      </w:r>
    </w:p>
    <w:p w14:paraId="3780760C" w14:textId="77777777" w:rsidR="00774F69" w:rsidRPr="00774F69" w:rsidRDefault="00774F69" w:rsidP="00774F69">
      <w:pPr>
        <w:pStyle w:val="EndNoteBibliography"/>
        <w:spacing w:after="0" w:line="480" w:lineRule="auto"/>
      </w:pPr>
      <w:r w:rsidRPr="00774F69">
        <w:t>12.</w:t>
      </w:r>
      <w:r w:rsidRPr="00774F69">
        <w:tab/>
        <w:t>Ozkaynak H, Xue J, Spengler J, Wallace L, Pellizzari E, Jenkins P. Personal exposure to airborne particles and metals: results from the Particle TEAM study in Riverside, California. J Expo Anal Environ Epidemiol 1996; 6(1): 57-78</w:t>
      </w:r>
    </w:p>
    <w:p w14:paraId="1221FD66" w14:textId="14B16A8B" w:rsidR="00774F69" w:rsidRPr="00774F69" w:rsidRDefault="00774F69" w:rsidP="00774F69">
      <w:pPr>
        <w:pStyle w:val="EndNoteBibliography"/>
        <w:spacing w:after="0" w:line="480" w:lineRule="auto"/>
      </w:pPr>
      <w:r w:rsidRPr="00774F69">
        <w:t>13.</w:t>
      </w:r>
      <w:r w:rsidRPr="00774F69">
        <w:tab/>
        <w:t xml:space="preserve">LAQN. London Air Quality Network. Available at: </w:t>
      </w:r>
      <w:hyperlink r:id="rId10" w:history="1">
        <w:r w:rsidRPr="00774F69">
          <w:rPr>
            <w:rStyle w:val="Hyperlink"/>
          </w:rPr>
          <w:t>http://www.londonair.org.uk/london/asp/datadownload.asp</w:t>
        </w:r>
      </w:hyperlink>
      <w:r w:rsidRPr="00774F69">
        <w:t xml:space="preserve"> 2010.</w:t>
      </w:r>
    </w:p>
    <w:p w14:paraId="3534ACAC" w14:textId="77777777" w:rsidR="00774F69" w:rsidRPr="00774F69" w:rsidRDefault="00774F69" w:rsidP="00774F69">
      <w:pPr>
        <w:pStyle w:val="EndNoteBibliography"/>
        <w:spacing w:after="0" w:line="480" w:lineRule="auto"/>
      </w:pPr>
      <w:r w:rsidRPr="00774F69">
        <w:t>14.</w:t>
      </w:r>
      <w:r w:rsidRPr="00774F69">
        <w:tab/>
        <w:t>DCLG. Approved Document F: Ventilation (2010 Ed). London, UK: The Stationery Office, 2010.</w:t>
      </w:r>
    </w:p>
    <w:p w14:paraId="7EC3B084" w14:textId="77777777" w:rsidR="00774F69" w:rsidRPr="00774F69" w:rsidRDefault="00774F69" w:rsidP="00774F69">
      <w:pPr>
        <w:pStyle w:val="EndNoteBibliography"/>
        <w:spacing w:after="0" w:line="480" w:lineRule="auto"/>
      </w:pPr>
      <w:r w:rsidRPr="00774F69">
        <w:t>15.</w:t>
      </w:r>
      <w:r w:rsidRPr="00774F69">
        <w:tab/>
        <w:t>Shrubsole C, Ridley I, Biddulph P, Milner J, Vardoulakis S, Ucci M, Wilkinson P, Chalabi Z, Davies M. Indoor PM</w:t>
      </w:r>
      <w:r w:rsidRPr="00774F69">
        <w:rPr>
          <w:vertAlign w:val="subscript"/>
        </w:rPr>
        <w:t>2.5</w:t>
      </w:r>
      <w:r w:rsidRPr="00774F69">
        <w:t xml:space="preserve"> exposure in London's domestic stock: Modelling current and future exposures following energy efficient refurbishment. Atmospheric Environment 2012; 62(0): 336-43</w:t>
      </w:r>
    </w:p>
    <w:p w14:paraId="20EDCE90" w14:textId="77777777" w:rsidR="00774F69" w:rsidRPr="00774F69" w:rsidRDefault="00774F69" w:rsidP="00774F69">
      <w:pPr>
        <w:pStyle w:val="EndNoteBibliography"/>
        <w:spacing w:after="0" w:line="480" w:lineRule="auto"/>
      </w:pPr>
      <w:r w:rsidRPr="00774F69">
        <w:t>16.</w:t>
      </w:r>
      <w:r w:rsidRPr="00774F69">
        <w:tab/>
        <w:t>DCLG. English Housing Survey. Household Report 2010-2011. London, UK: Department for Communities and Local Government, 2012.</w:t>
      </w:r>
    </w:p>
    <w:p w14:paraId="595D0A55" w14:textId="77777777" w:rsidR="00774F69" w:rsidRPr="00774F69" w:rsidRDefault="00774F69" w:rsidP="00774F69">
      <w:pPr>
        <w:pStyle w:val="EndNoteBibliography"/>
        <w:spacing w:after="0" w:line="480" w:lineRule="auto"/>
      </w:pPr>
      <w:r w:rsidRPr="00774F69">
        <w:t>17.</w:t>
      </w:r>
      <w:r w:rsidRPr="00774F69">
        <w:tab/>
        <w:t>ASHRAE. Fundamentals. Atlanta, GA, USA: American Society of Heating, Refrigeration, and Air-Conditioning Engineers, 2009.</w:t>
      </w:r>
    </w:p>
    <w:p w14:paraId="13349958" w14:textId="77777777" w:rsidR="00774F69" w:rsidRPr="00774F69" w:rsidRDefault="00774F69" w:rsidP="00774F69">
      <w:pPr>
        <w:pStyle w:val="EndNoteBibliography"/>
        <w:spacing w:after="0" w:line="480" w:lineRule="auto"/>
      </w:pPr>
      <w:r w:rsidRPr="00774F69">
        <w:lastRenderedPageBreak/>
        <w:t>18.</w:t>
      </w:r>
      <w:r w:rsidRPr="00774F69">
        <w:tab/>
        <w:t>Kreider J, Rabl A. Heating and Cooling of Buildings (Design for Efficiency). New York, NY, USA.: McGraw-Hill; 1994.</w:t>
      </w:r>
    </w:p>
    <w:p w14:paraId="643B7948" w14:textId="77777777" w:rsidR="00774F69" w:rsidRPr="00774F69" w:rsidRDefault="00774F69" w:rsidP="00774F69">
      <w:pPr>
        <w:pStyle w:val="EndNoteBibliography"/>
        <w:spacing w:after="0" w:line="480" w:lineRule="auto"/>
      </w:pPr>
      <w:r w:rsidRPr="00774F69">
        <w:t>19.</w:t>
      </w:r>
      <w:r w:rsidRPr="00774F69">
        <w:tab/>
        <w:t>Palmer J, Cooper I. Great Britain’s Housing Energy Fact File. London, UK: Department for Energy and Climate Change, 2011.</w:t>
      </w:r>
    </w:p>
    <w:p w14:paraId="5A243C3A" w14:textId="77777777" w:rsidR="00774F69" w:rsidRPr="00774F69" w:rsidRDefault="00774F69" w:rsidP="00774F69">
      <w:pPr>
        <w:pStyle w:val="EndNoteBibliography"/>
        <w:spacing w:after="0" w:line="480" w:lineRule="auto"/>
      </w:pPr>
      <w:r w:rsidRPr="00774F69">
        <w:t>20.</w:t>
      </w:r>
      <w:r w:rsidRPr="00774F69">
        <w:tab/>
        <w:t>DECC. Energy Consumption in the UK. London, UK: Department of Energy and Climate Change, 2014.</w:t>
      </w:r>
    </w:p>
    <w:p w14:paraId="183287D5" w14:textId="77777777" w:rsidR="00774F69" w:rsidRPr="00774F69" w:rsidRDefault="00774F69" w:rsidP="00774F69">
      <w:pPr>
        <w:pStyle w:val="EndNoteBibliography"/>
        <w:spacing w:after="0" w:line="480" w:lineRule="auto"/>
      </w:pPr>
      <w:r w:rsidRPr="00774F69">
        <w:t>21.</w:t>
      </w:r>
      <w:r w:rsidRPr="00774F69">
        <w:tab/>
        <w:t>Defra. 2013 Government GHG Conversion Factors for Company Reporting: Methodology Paper for Emission Factors. London, UK: Department for Environment, Food &amp; Rural Affairs, 2013.</w:t>
      </w:r>
    </w:p>
    <w:p w14:paraId="24B753FC" w14:textId="77777777" w:rsidR="00774F69" w:rsidRPr="00774F69" w:rsidRDefault="00774F69" w:rsidP="00774F69">
      <w:pPr>
        <w:pStyle w:val="EndNoteBibliography"/>
        <w:spacing w:after="0" w:line="480" w:lineRule="auto"/>
      </w:pPr>
      <w:r w:rsidRPr="00774F69">
        <w:t>22.</w:t>
      </w:r>
      <w:r w:rsidRPr="00774F69">
        <w:tab/>
        <w:t>Miller BG, Hurley JF. Life table methods for quantitative impact assessments in chronic mortality. Journal of Epidemiology &amp; Community Health 2003; 57(3): 200-6</w:t>
      </w:r>
    </w:p>
    <w:p w14:paraId="4E4AF891" w14:textId="77777777" w:rsidR="00774F69" w:rsidRPr="00774F69" w:rsidRDefault="00774F69" w:rsidP="00774F69">
      <w:pPr>
        <w:pStyle w:val="EndNoteBibliography"/>
        <w:spacing w:after="0" w:line="480" w:lineRule="auto"/>
      </w:pPr>
      <w:r w:rsidRPr="00774F69">
        <w:t>23.</w:t>
      </w:r>
      <w:r w:rsidRPr="00774F69">
        <w:tab/>
        <w:t>Kornartit C, Sokhi RS, Burton MA, Ravindra K. Activity pattern and personal exposure to nitrogen dioxide in indoor and outdoor microenvironments. Environ Int 2010; 36(1): 36-45</w:t>
      </w:r>
    </w:p>
    <w:p w14:paraId="178A964F" w14:textId="77777777" w:rsidR="00774F69" w:rsidRPr="00774F69" w:rsidRDefault="00774F69" w:rsidP="00774F69">
      <w:pPr>
        <w:pStyle w:val="EndNoteBibliography"/>
        <w:spacing w:after="0" w:line="480" w:lineRule="auto"/>
      </w:pPr>
      <w:r w:rsidRPr="00774F69">
        <w:t>24.</w:t>
      </w:r>
      <w:r w:rsidRPr="00774F69">
        <w:tab/>
        <w:t>Devlin N, Parkin D. Does NICE have a cost-effectiveness threshold and what other factors influence its decisions? A binary choice analysis. Health Economics 2004; 13: 437-52</w:t>
      </w:r>
    </w:p>
    <w:p w14:paraId="4D9FFCAD" w14:textId="77777777" w:rsidR="00774F69" w:rsidRPr="00774F69" w:rsidRDefault="00774F69" w:rsidP="00774F69">
      <w:pPr>
        <w:pStyle w:val="EndNoteBibliography"/>
        <w:spacing w:after="0" w:line="480" w:lineRule="auto"/>
      </w:pPr>
      <w:r w:rsidRPr="00774F69">
        <w:t>25.</w:t>
      </w:r>
      <w:r w:rsidRPr="00774F69">
        <w:tab/>
        <w:t>DECC. Updated Short-Term Traded Carbon Values used for UK Public Policy Appraisal. London, UK: Department of Energy and Climate Change, 2013.</w:t>
      </w:r>
    </w:p>
    <w:p w14:paraId="762A2A08" w14:textId="77777777" w:rsidR="00774F69" w:rsidRPr="00774F69" w:rsidRDefault="00774F69" w:rsidP="00774F69">
      <w:pPr>
        <w:pStyle w:val="EndNoteBibliography"/>
        <w:spacing w:after="0" w:line="480" w:lineRule="auto"/>
      </w:pPr>
      <w:r w:rsidRPr="00774F69">
        <w:t>26.</w:t>
      </w:r>
      <w:r w:rsidRPr="00774F69">
        <w:tab/>
        <w:t xml:space="preserve">Milner J, Chalabi Z, Wilkinson P, Armstrong B, Cairns J, Duffy S, Hajat S, Jones L, Petticrew M, Scovronik N. Evidence Review and Economic Analysis of </w:t>
      </w:r>
      <w:r w:rsidRPr="00774F69">
        <w:lastRenderedPageBreak/>
        <w:t>Excess Winter Deaths. Review 2: Interventions and Economic Studies. London, UK: Report for the National Institute for Health and Care Excellence (NICE), 2014.</w:t>
      </w:r>
    </w:p>
    <w:p w14:paraId="76626FDF" w14:textId="77777777" w:rsidR="00774F69" w:rsidRPr="00774F69" w:rsidRDefault="00774F69" w:rsidP="00774F69">
      <w:pPr>
        <w:pStyle w:val="EndNoteBibliography"/>
        <w:spacing w:after="0" w:line="480" w:lineRule="auto"/>
      </w:pPr>
      <w:r w:rsidRPr="00774F69">
        <w:t>27.</w:t>
      </w:r>
      <w:r w:rsidRPr="00774F69">
        <w:tab/>
        <w:t>Balvers J, Bogers R, Jongeneel R, van Kamp I, Boerstra A, van Dijken F. Mechanical ventilation in recently built Dutch homes: technical shortcomings, possibilities for improvement, perceived indoor environment and health effects. Architectural Science Review 2012; 55: 4–14</w:t>
      </w:r>
    </w:p>
    <w:p w14:paraId="4D72285A" w14:textId="77777777" w:rsidR="00774F69" w:rsidRPr="00774F69" w:rsidRDefault="00774F69" w:rsidP="00774F69">
      <w:pPr>
        <w:pStyle w:val="EndNoteBibliography"/>
        <w:spacing w:after="0" w:line="480" w:lineRule="auto"/>
      </w:pPr>
      <w:r w:rsidRPr="00774F69">
        <w:t>28.</w:t>
      </w:r>
      <w:r w:rsidRPr="00774F69">
        <w:tab/>
        <w:t>Pope CA, 3rd, Burnett RT, Thun MJ, Calle EE, Krewski D, Ito K, Thurston GD. Lung cancer, cardiopulmonary mortality, and long-term exposure to fine particulate air pollution. Jama 2002; 287(9): 1132-41</w:t>
      </w:r>
    </w:p>
    <w:p w14:paraId="4634E5AB" w14:textId="77777777" w:rsidR="00774F69" w:rsidRPr="00774F69" w:rsidRDefault="00774F69" w:rsidP="00774F69">
      <w:pPr>
        <w:pStyle w:val="EndNoteBibliography"/>
        <w:spacing w:after="0" w:line="480" w:lineRule="auto"/>
      </w:pPr>
      <w:r w:rsidRPr="00774F69">
        <w:t>29.</w:t>
      </w:r>
      <w:r w:rsidRPr="00774F69">
        <w:tab/>
        <w:t>Pope CA, 3rd, Burnett RT, Thurston GD, Thun MJ, Calle EE, Krewski D, Godleski JJ. Cardiovascular mortality and long-term exposure to particulate air pollution: epidemiological evidence of general pathophysiological pathways of disease. Circulation 2004; 109(1): 71-7</w:t>
      </w:r>
    </w:p>
    <w:p w14:paraId="2D283C4C" w14:textId="77777777" w:rsidR="00774F69" w:rsidRPr="00774F69" w:rsidRDefault="00774F69" w:rsidP="00774F69">
      <w:pPr>
        <w:pStyle w:val="EndNoteBibliography"/>
        <w:spacing w:after="0" w:line="480" w:lineRule="auto"/>
      </w:pPr>
      <w:r w:rsidRPr="00774F69">
        <w:t>30.</w:t>
      </w:r>
      <w:r w:rsidRPr="00774F69">
        <w:tab/>
        <w:t>Lee PN, Forey BA. Environmental tobacco smoke exposure and risk of stroke in nonsmokers: a review with meta-analysis. Journal of Stroke and Cerebrovascular Diseases 2006; 15(5): 190-201</w:t>
      </w:r>
    </w:p>
    <w:p w14:paraId="1B33E078" w14:textId="77777777" w:rsidR="00774F69" w:rsidRPr="00774F69" w:rsidRDefault="00774F69" w:rsidP="00774F69">
      <w:pPr>
        <w:pStyle w:val="EndNoteBibliography"/>
        <w:spacing w:after="0" w:line="480" w:lineRule="auto"/>
      </w:pPr>
      <w:r w:rsidRPr="00774F69">
        <w:t>31.</w:t>
      </w:r>
      <w:r w:rsidRPr="00774F69">
        <w:tab/>
        <w:t>Law MR, Morris JK, Wald NJ. Environmental tobacco smoke exposure and ischaemic heart disease: an evaluation of the evidence. Bmj 1997; 315(7114): 973-80</w:t>
      </w:r>
    </w:p>
    <w:p w14:paraId="056CA598" w14:textId="77777777" w:rsidR="00774F69" w:rsidRPr="00774F69" w:rsidRDefault="00774F69" w:rsidP="00774F69">
      <w:pPr>
        <w:pStyle w:val="EndNoteBibliography"/>
        <w:spacing w:line="480" w:lineRule="auto"/>
      </w:pPr>
      <w:r w:rsidRPr="00774F69">
        <w:t>32.</w:t>
      </w:r>
      <w:r w:rsidRPr="00774F69">
        <w:tab/>
        <w:t xml:space="preserve">Darby S, Hill D, Auvinen A, Barros-Dios JM, Baysson H, Bochicchio F, Deo H, Falk R, Forastiere F, Hakama M, Heid I, Kreienbrock L, Kreuzer M, Lagarde F, Makelainen I, Muirhead C, Oberaigner W, Pershagen G, Ruano-Ravina A, Ruosteenoja E, Rosario AS, Tirmarche M, Tomasek L, Whitley E, Wichmann HE, </w:t>
      </w:r>
      <w:r w:rsidRPr="00774F69">
        <w:lastRenderedPageBreak/>
        <w:t>Doll R. Radon in homes and risk of lung cancer: collaborative analysis of individual data from 13 European case-control studies. Bmj 2005; 330(7485): 223</w:t>
      </w:r>
    </w:p>
    <w:p w14:paraId="296C6483" w14:textId="02E0CEDD" w:rsidR="006E2FC1" w:rsidRPr="00B54BF2" w:rsidRDefault="006E2FC1" w:rsidP="00774F69">
      <w:pPr>
        <w:spacing w:line="480" w:lineRule="auto"/>
      </w:pPr>
      <w:r w:rsidRPr="00B54BF2">
        <w:fldChar w:fldCharType="end"/>
      </w:r>
    </w:p>
    <w:p w14:paraId="3E58AEFC" w14:textId="77777777" w:rsidR="006E2FC1" w:rsidRPr="00B54BF2" w:rsidRDefault="006E2FC1" w:rsidP="00DD030E">
      <w:pPr>
        <w:spacing w:line="480" w:lineRule="auto"/>
      </w:pPr>
      <w:r w:rsidRPr="00B54BF2">
        <w:br w:type="page"/>
      </w:r>
    </w:p>
    <w:p w14:paraId="737EEEBB" w14:textId="75A14CCD" w:rsidR="0094384E" w:rsidRPr="0094384E" w:rsidRDefault="0094384E" w:rsidP="0094384E">
      <w:pPr>
        <w:spacing w:line="480" w:lineRule="auto"/>
        <w:rPr>
          <w:b/>
          <w:sz w:val="24"/>
          <w:szCs w:val="24"/>
        </w:rPr>
      </w:pPr>
      <w:r w:rsidRPr="0094384E">
        <w:rPr>
          <w:b/>
          <w:sz w:val="24"/>
          <w:szCs w:val="24"/>
        </w:rPr>
        <w:lastRenderedPageBreak/>
        <w:t>Tables</w:t>
      </w:r>
    </w:p>
    <w:p w14:paraId="1BED31EF" w14:textId="77777777" w:rsidR="0094384E" w:rsidRPr="0094384E" w:rsidRDefault="0094384E" w:rsidP="0094384E">
      <w:pPr>
        <w:spacing w:line="480" w:lineRule="auto"/>
      </w:pPr>
    </w:p>
    <w:p w14:paraId="3EAC8596" w14:textId="77777777" w:rsidR="001D26F1" w:rsidRPr="0052304F" w:rsidRDefault="001D26F1" w:rsidP="0052304F">
      <w:pPr>
        <w:spacing w:line="240" w:lineRule="auto"/>
        <w:rPr>
          <w:b/>
        </w:rPr>
      </w:pPr>
      <w:r w:rsidRPr="0052304F">
        <w:rPr>
          <w:b/>
        </w:rPr>
        <w:t>Table 1. Modelled exposure-outcome pathways and sources.</w:t>
      </w:r>
    </w:p>
    <w:tbl>
      <w:tblPr>
        <w:tblW w:w="7729" w:type="dxa"/>
        <w:tblInd w:w="-108" w:type="dxa"/>
        <w:tblBorders>
          <w:top w:val="single" w:sz="4" w:space="0" w:color="auto"/>
          <w:bottom w:val="single" w:sz="4" w:space="0" w:color="auto"/>
        </w:tblBorders>
        <w:tblLayout w:type="fixed"/>
        <w:tblLook w:val="04A0" w:firstRow="1" w:lastRow="0" w:firstColumn="1" w:lastColumn="0" w:noHBand="0" w:noVBand="1"/>
      </w:tblPr>
      <w:tblGrid>
        <w:gridCol w:w="1932"/>
        <w:gridCol w:w="1932"/>
        <w:gridCol w:w="1932"/>
        <w:gridCol w:w="1933"/>
      </w:tblGrid>
      <w:tr w:rsidR="001D26F1" w:rsidRPr="00B54BF2" w14:paraId="1B4586F9" w14:textId="77777777" w:rsidTr="00240F65">
        <w:tc>
          <w:tcPr>
            <w:tcW w:w="1932" w:type="dxa"/>
            <w:tcBorders>
              <w:top w:val="single" w:sz="4" w:space="0" w:color="auto"/>
              <w:bottom w:val="single" w:sz="4" w:space="0" w:color="auto"/>
            </w:tcBorders>
          </w:tcPr>
          <w:p w14:paraId="7B8D90F3" w14:textId="77777777" w:rsidR="001D26F1" w:rsidRPr="00B54BF2" w:rsidRDefault="001D26F1" w:rsidP="0052304F">
            <w:pPr>
              <w:spacing w:line="240" w:lineRule="auto"/>
            </w:pPr>
            <w:r w:rsidRPr="00B54BF2">
              <w:t>Indoor exposure</w:t>
            </w:r>
          </w:p>
        </w:tc>
        <w:tc>
          <w:tcPr>
            <w:tcW w:w="1932" w:type="dxa"/>
            <w:tcBorders>
              <w:top w:val="single" w:sz="4" w:space="0" w:color="auto"/>
              <w:bottom w:val="single" w:sz="4" w:space="0" w:color="auto"/>
            </w:tcBorders>
          </w:tcPr>
          <w:p w14:paraId="00FEA2BB" w14:textId="77777777" w:rsidR="001D26F1" w:rsidRPr="00B54BF2" w:rsidRDefault="001D26F1" w:rsidP="0052304F">
            <w:pPr>
              <w:spacing w:line="240" w:lineRule="auto"/>
            </w:pPr>
            <w:r w:rsidRPr="00B54BF2">
              <w:t>Health outcome</w:t>
            </w:r>
          </w:p>
        </w:tc>
        <w:tc>
          <w:tcPr>
            <w:tcW w:w="1932" w:type="dxa"/>
            <w:tcBorders>
              <w:top w:val="single" w:sz="4" w:space="0" w:color="auto"/>
              <w:bottom w:val="single" w:sz="4" w:space="0" w:color="auto"/>
            </w:tcBorders>
          </w:tcPr>
          <w:p w14:paraId="43B59B80" w14:textId="77777777" w:rsidR="001D26F1" w:rsidRPr="00B54BF2" w:rsidRDefault="001D26F1" w:rsidP="0052304F">
            <w:pPr>
              <w:spacing w:line="240" w:lineRule="auto"/>
            </w:pPr>
            <w:r w:rsidRPr="00B54BF2">
              <w:t>Exposure-response relationship</w:t>
            </w:r>
          </w:p>
        </w:tc>
        <w:tc>
          <w:tcPr>
            <w:tcW w:w="1933" w:type="dxa"/>
            <w:tcBorders>
              <w:top w:val="single" w:sz="4" w:space="0" w:color="auto"/>
              <w:bottom w:val="single" w:sz="4" w:space="0" w:color="auto"/>
            </w:tcBorders>
          </w:tcPr>
          <w:p w14:paraId="291B66DA" w14:textId="77777777" w:rsidR="001D26F1" w:rsidRPr="00B54BF2" w:rsidRDefault="001D26F1" w:rsidP="0052304F">
            <w:pPr>
              <w:spacing w:line="240" w:lineRule="auto"/>
            </w:pPr>
            <w:r w:rsidRPr="00B54BF2">
              <w:t>Source</w:t>
            </w:r>
          </w:p>
        </w:tc>
      </w:tr>
      <w:tr w:rsidR="001D26F1" w:rsidRPr="00B54BF2" w14:paraId="658D9C66" w14:textId="77777777" w:rsidTr="00240F65">
        <w:tc>
          <w:tcPr>
            <w:tcW w:w="1932" w:type="dxa"/>
          </w:tcPr>
          <w:p w14:paraId="5557C6C3" w14:textId="77777777" w:rsidR="001D26F1" w:rsidRPr="00B54BF2" w:rsidRDefault="001D26F1" w:rsidP="0052304F">
            <w:pPr>
              <w:spacing w:line="240" w:lineRule="auto"/>
            </w:pPr>
            <w:r w:rsidRPr="00B54BF2">
              <w:t>PM</w:t>
            </w:r>
            <w:r w:rsidRPr="00B54BF2">
              <w:rPr>
                <w:vertAlign w:val="subscript"/>
              </w:rPr>
              <w:t>2.5</w:t>
            </w:r>
          </w:p>
        </w:tc>
        <w:tc>
          <w:tcPr>
            <w:tcW w:w="1932" w:type="dxa"/>
          </w:tcPr>
          <w:p w14:paraId="23710B8C" w14:textId="77777777" w:rsidR="001D26F1" w:rsidRPr="00B54BF2" w:rsidRDefault="001D26F1" w:rsidP="0052304F">
            <w:pPr>
              <w:spacing w:line="240" w:lineRule="auto"/>
            </w:pPr>
            <w:r w:rsidRPr="00B54BF2">
              <w:t>Cardiopulmonary mortality</w:t>
            </w:r>
          </w:p>
        </w:tc>
        <w:tc>
          <w:tcPr>
            <w:tcW w:w="1932" w:type="dxa"/>
          </w:tcPr>
          <w:p w14:paraId="42D4B221" w14:textId="7518B421" w:rsidR="001D26F1" w:rsidRPr="00B54BF2" w:rsidRDefault="001D26F1" w:rsidP="00BA48C0">
            <w:pPr>
              <w:spacing w:line="240" w:lineRule="auto"/>
            </w:pPr>
            <w:r w:rsidRPr="00B54BF2">
              <w:t>1.082 per 10 µg</w:t>
            </w:r>
            <w:r w:rsidR="00BA48C0">
              <w:t xml:space="preserve"> </w:t>
            </w:r>
            <w:r w:rsidR="00BA48C0" w:rsidRPr="00B54BF2">
              <w:t>m</w:t>
            </w:r>
            <w:r w:rsidR="00BA48C0">
              <w:rPr>
                <w:vertAlign w:val="superscript"/>
              </w:rPr>
              <w:t>-3</w:t>
            </w:r>
          </w:p>
        </w:tc>
        <w:tc>
          <w:tcPr>
            <w:tcW w:w="1933" w:type="dxa"/>
          </w:tcPr>
          <w:p w14:paraId="74C285A2" w14:textId="75E056C8" w:rsidR="001D26F1" w:rsidRPr="00B54BF2" w:rsidRDefault="001D26F1" w:rsidP="00AF1387">
            <w:pPr>
              <w:spacing w:line="240" w:lineRule="auto"/>
              <w:rPr>
                <w:highlight w:val="yellow"/>
              </w:rPr>
            </w:pPr>
            <w:r w:rsidRPr="00B54BF2">
              <w:t>Pope et al. (2004; 2002)</w:t>
            </w:r>
            <w:r w:rsidR="00495A73" w:rsidRPr="00B54BF2">
              <w:fldChar w:fldCharType="begin"/>
            </w:r>
            <w:r w:rsidR="00AF1387">
              <w:instrText xml:space="preserve"> ADDIN EN.CITE &lt;EndNote&gt;&lt;Cite&gt;&lt;Author&gt;Pope&lt;/Author&gt;&lt;Year&gt;2002&lt;/Year&gt;&lt;RecNum&gt;22&lt;/RecNum&gt;&lt;DisplayText&gt;&lt;style face="superscript"&gt;28&lt;/style&gt;&lt;/DisplayText&gt;&lt;record&gt;&lt;rec-number&gt;22&lt;/rec-number&gt;&lt;foreign-keys&gt;&lt;key app="EN" db-id="v2x05fr5xze0tkez0psxzdxyvvstv22t5s5e"&gt;22&lt;/key&gt;&lt;/foreign-keys&gt;&lt;ref-type name="Journal Article"&gt;17&lt;/ref-type&gt;&lt;contributors&gt;&lt;authors&gt;&lt;author&gt;Pope, C.A., 3rd&lt;/author&gt;&lt;author&gt;Burnett, R.T.&lt;/author&gt;&lt;author&gt;Thun, M.J.&lt;/author&gt;&lt;author&gt;Calle, E.E.&lt;/author&gt;&lt;author&gt;Krewski, D.&lt;/author&gt;&lt;author&gt;Ito, K.&lt;/author&gt;&lt;author&gt;Thurston, G.D.&lt;/author&gt;&lt;/authors&gt;&lt;/contributors&gt;&lt;auth-address&gt;Department of Economics, Brigham Young University, 142 FOB, Provo, UT 84602, USA. cap3@email.byu.edu&lt;/auth-address&gt;&lt;titles&gt;&lt;title&gt;Lung cancer, cardiopulmonary mortality, and long-term exposure to fine particulate air pollution&lt;/title&gt;&lt;secondary-title&gt;JAMA&lt;/secondary-title&gt;&lt;/titles&gt;&lt;periodical&gt;&lt;full-title&gt;Jama&lt;/full-title&gt;&lt;abbr-1&gt;JAMA : the journal of the American Medical Association&lt;/abbr-1&gt;&lt;/periodical&gt;&lt;pages&gt;1132-41&lt;/pages&gt;&lt;volume&gt;287&lt;/volume&gt;&lt;number&gt;9&lt;/number&gt;&lt;edition&gt;2002/03/07&lt;/edition&gt;&lt;keywords&gt;&lt;keyword&gt;Adult&lt;/keyword&gt;&lt;keyword&gt;*Air Pollutants&lt;/keyword&gt;&lt;keyword&gt;*Air Pollution&lt;/keyword&gt;&lt;keyword&gt;Cause of Death&lt;/keyword&gt;&lt;keyword&gt;Female&lt;/keyword&gt;&lt;keyword&gt;Humans&lt;/keyword&gt;&lt;keyword&gt;Lung Neoplasms/*mortality&lt;/keyword&gt;&lt;keyword&gt;Male&lt;/keyword&gt;&lt;keyword&gt;Particle Size&lt;/keyword&gt;&lt;keyword&gt;Proportional Hazards Models&lt;/keyword&gt;&lt;keyword&gt;Pulmonary Heart Disease/*mortality&lt;/keyword&gt;&lt;keyword&gt;Risk Factors&lt;/keyword&gt;&lt;keyword&gt;United States/epidemiology&lt;/keyword&gt;&lt;keyword&gt;Urban Population&lt;/keyword&gt;&lt;/keywords&gt;&lt;dates&gt;&lt;year&gt;2002&lt;/year&gt;&lt;pub-dates&gt;&lt;date&gt;Mar 6&lt;/date&gt;&lt;/pub-dates&gt;&lt;/dates&gt;&lt;isbn&gt;0098-7484 (Print)&amp;#xD;0098-7484&lt;/isbn&gt;&lt;accession-num&gt;11879110&lt;/accession-num&gt;&lt;urls&gt;&lt;/urls&gt;&lt;custom2&gt;Pmc4037163&lt;/custom2&gt;&lt;custom6&gt;Nihms582070&lt;/custom6&gt;&lt;remote-database-provider&gt;NLM&lt;/remote-database-provider&gt;&lt;language&gt;eng&lt;/language&gt;&lt;/record&gt;&lt;/Cite&gt;&lt;/EndNote&gt;</w:instrText>
            </w:r>
            <w:r w:rsidR="00495A73" w:rsidRPr="00B54BF2">
              <w:fldChar w:fldCharType="separate"/>
            </w:r>
            <w:r w:rsidR="00AF1387" w:rsidRPr="00AF1387">
              <w:rPr>
                <w:noProof/>
                <w:vertAlign w:val="superscript"/>
              </w:rPr>
              <w:t>28</w:t>
            </w:r>
            <w:r w:rsidR="00495A73" w:rsidRPr="00B54BF2">
              <w:fldChar w:fldCharType="end"/>
            </w:r>
            <w:r w:rsidR="00495A73" w:rsidRPr="00B54BF2">
              <w:t xml:space="preserve"> </w:t>
            </w:r>
            <w:r w:rsidR="00495A73" w:rsidRPr="00B54BF2">
              <w:fldChar w:fldCharType="begin">
                <w:fldData xml:space="preserve">PEVuZE5vdGU+PENpdGU+PEF1dGhvcj5Qb3BlPC9BdXRob3I+PFllYXI+MjAwNDwvWWVhcj48UmVj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</w:fldData>
              </w:fldChar>
            </w:r>
            <w:r w:rsidR="00AF1387">
              <w:instrText xml:space="preserve"> ADDIN EN.CITE </w:instrText>
            </w:r>
            <w:r w:rsidR="00AF1387">
              <w:fldChar w:fldCharType="begin">
                <w:fldData xml:space="preserve">PEVuZE5vdGU+PENpdGU+PEF1dGhvcj5Qb3BlPC9BdXRob3I+PFllYXI+MjAwNDwvWWVhcj48UmVj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</w:fldData>
              </w:fldChar>
            </w:r>
            <w:r w:rsidR="00AF1387">
              <w:instrText xml:space="preserve"> ADDIN EN.CITE.DATA </w:instrText>
            </w:r>
            <w:r w:rsidR="00AF1387">
              <w:fldChar w:fldCharType="end"/>
            </w:r>
            <w:r w:rsidR="00495A73" w:rsidRPr="00B54BF2">
              <w:fldChar w:fldCharType="separate"/>
            </w:r>
            <w:r w:rsidR="00AF1387" w:rsidRPr="00AF1387">
              <w:rPr>
                <w:noProof/>
                <w:vertAlign w:val="superscript"/>
              </w:rPr>
              <w:t>29</w:t>
            </w:r>
            <w:r w:rsidR="00495A73" w:rsidRPr="00B54BF2">
              <w:fldChar w:fldCharType="end"/>
            </w:r>
          </w:p>
        </w:tc>
      </w:tr>
      <w:tr w:rsidR="001D26F1" w:rsidRPr="00B54BF2" w14:paraId="326C01E9" w14:textId="77777777" w:rsidTr="00240F65">
        <w:tc>
          <w:tcPr>
            <w:tcW w:w="1932" w:type="dxa"/>
          </w:tcPr>
          <w:p w14:paraId="04B5DB56" w14:textId="77777777" w:rsidR="001D26F1" w:rsidRPr="00B54BF2" w:rsidRDefault="001D26F1" w:rsidP="0052304F">
            <w:pPr>
              <w:spacing w:line="240" w:lineRule="auto"/>
            </w:pPr>
          </w:p>
        </w:tc>
        <w:tc>
          <w:tcPr>
            <w:tcW w:w="1932" w:type="dxa"/>
          </w:tcPr>
          <w:p w14:paraId="4FAC2365" w14:textId="77777777" w:rsidR="001D26F1" w:rsidRPr="00B54BF2" w:rsidRDefault="001D26F1" w:rsidP="0052304F">
            <w:pPr>
              <w:spacing w:line="240" w:lineRule="auto"/>
            </w:pPr>
            <w:r w:rsidRPr="00B54BF2">
              <w:t>Lung cancer mortality</w:t>
            </w:r>
          </w:p>
        </w:tc>
        <w:tc>
          <w:tcPr>
            <w:tcW w:w="1932" w:type="dxa"/>
          </w:tcPr>
          <w:p w14:paraId="19D6B987" w14:textId="2A3B9C6C" w:rsidR="001D26F1" w:rsidRPr="00B54BF2" w:rsidRDefault="001D26F1" w:rsidP="00BA48C0">
            <w:pPr>
              <w:spacing w:line="240" w:lineRule="auto"/>
            </w:pPr>
            <w:r w:rsidRPr="00B54BF2">
              <w:t>1.059 per 10 µg</w:t>
            </w:r>
            <w:r w:rsidR="00BA48C0">
              <w:t xml:space="preserve"> </w:t>
            </w:r>
            <w:r w:rsidR="00BA48C0" w:rsidRPr="00B54BF2">
              <w:t>m</w:t>
            </w:r>
            <w:r w:rsidR="00BA48C0">
              <w:rPr>
                <w:vertAlign w:val="superscript"/>
              </w:rPr>
              <w:t>-3</w:t>
            </w:r>
          </w:p>
        </w:tc>
        <w:tc>
          <w:tcPr>
            <w:tcW w:w="1933" w:type="dxa"/>
          </w:tcPr>
          <w:p w14:paraId="5D982FBB" w14:textId="77777777" w:rsidR="001D26F1" w:rsidRPr="00B54BF2" w:rsidRDefault="001D26F1" w:rsidP="0052304F">
            <w:pPr>
              <w:spacing w:line="240" w:lineRule="auto"/>
              <w:rPr>
                <w:highlight w:val="yellow"/>
              </w:rPr>
            </w:pPr>
            <w:r w:rsidRPr="00B54BF2">
              <w:t>(As above)</w:t>
            </w:r>
          </w:p>
        </w:tc>
      </w:tr>
      <w:tr w:rsidR="001D26F1" w:rsidRPr="00B54BF2" w14:paraId="2920534D" w14:textId="77777777" w:rsidTr="00240F65">
        <w:tc>
          <w:tcPr>
            <w:tcW w:w="1932" w:type="dxa"/>
          </w:tcPr>
          <w:p w14:paraId="74920D7A" w14:textId="77777777" w:rsidR="001D26F1" w:rsidRPr="00B54BF2" w:rsidRDefault="001D26F1" w:rsidP="0052304F">
            <w:pPr>
              <w:spacing w:line="240" w:lineRule="auto"/>
            </w:pPr>
            <w:r w:rsidRPr="00B54BF2">
              <w:t>Environmental tobacco smoke</w:t>
            </w:r>
          </w:p>
        </w:tc>
        <w:tc>
          <w:tcPr>
            <w:tcW w:w="1932" w:type="dxa"/>
          </w:tcPr>
          <w:p w14:paraId="221BE640" w14:textId="77777777" w:rsidR="001D26F1" w:rsidRPr="00B54BF2" w:rsidRDefault="001D26F1" w:rsidP="0052304F">
            <w:pPr>
              <w:spacing w:line="240" w:lineRule="auto"/>
            </w:pPr>
            <w:r w:rsidRPr="00B54BF2">
              <w:t>Cerebrovascular accident mortality</w:t>
            </w:r>
          </w:p>
        </w:tc>
        <w:tc>
          <w:tcPr>
            <w:tcW w:w="1932" w:type="dxa"/>
          </w:tcPr>
          <w:p w14:paraId="235CF281" w14:textId="77777777" w:rsidR="001D26F1" w:rsidRPr="00B54BF2" w:rsidRDefault="001D26F1" w:rsidP="0052304F">
            <w:pPr>
              <w:spacing w:line="240" w:lineRule="auto"/>
            </w:pPr>
            <w:r w:rsidRPr="00B54BF2">
              <w:t>1.25 (if in same dwelling as smoker)</w:t>
            </w:r>
          </w:p>
        </w:tc>
        <w:tc>
          <w:tcPr>
            <w:tcW w:w="1933" w:type="dxa"/>
          </w:tcPr>
          <w:p w14:paraId="3FCFFCC1" w14:textId="0F631F63" w:rsidR="001D26F1" w:rsidRPr="00B54BF2" w:rsidRDefault="001D26F1" w:rsidP="00AF1387">
            <w:pPr>
              <w:spacing w:line="240" w:lineRule="auto"/>
              <w:rPr>
                <w:highlight w:val="yellow"/>
              </w:rPr>
            </w:pPr>
            <w:r w:rsidRPr="00B54BF2">
              <w:t>Lee and Forey (2006)</w:t>
            </w:r>
            <w:r w:rsidR="00495A73" w:rsidRPr="00B54BF2">
              <w:fldChar w:fldCharType="begin"/>
            </w:r>
            <w:r w:rsidR="00AF1387">
              <w:instrText xml:space="preserve"> ADDIN EN.CITE &lt;EndNote&gt;&lt;Cite&gt;&lt;Author&gt;Lee&lt;/Author&gt;&lt;Year&gt;2006&lt;/Year&gt;&lt;RecNum&gt;24&lt;/RecNum&gt;&lt;DisplayText&gt;&lt;style face="superscript"&gt;30&lt;/style&gt;&lt;/DisplayText&gt;&lt;record&gt;&lt;rec-number&gt;24&lt;/rec-number&gt;&lt;foreign-keys&gt;&lt;key app="EN" db-id="v2x05fr5xze0tkez0psxzdxyvvstv22t5s5e"&gt;24&lt;/key&gt;&lt;/foreign-keys&gt;&lt;ref-type name="Journal Article"&gt;17&lt;/ref-type&gt;&lt;contributors&gt;&lt;authors&gt;&lt;author&gt;Lee, P.N.&lt;/author&gt;&lt;author&gt;Forey, B.A.&lt;/author&gt;&lt;/authors&gt;&lt;/contributors&gt;&lt;auth-address&gt;P N Lee Statistics and Computing Ltd, Sutton, United Kingdom.&lt;/auth-address&gt;&lt;titles&gt;&lt;title&gt;Environmental tobacco smoke exposure and risk of stroke in nonsmokers: a review with meta-analysis&lt;/title&gt;&lt;secondary-title&gt;Journal of Stroke and Cerebrovascular Diseases&lt;/secondary-title&gt;&lt;/titles&gt;&lt;periodical&gt;&lt;full-title&gt;Journal of Stroke and Cerebrovascular Diseases&lt;/full-title&gt;&lt;/periodical&gt;&lt;pages&gt;190-201&lt;/pages&gt;&lt;volume&gt;15&lt;/volume&gt;&lt;number&gt;5&lt;/number&gt;&lt;edition&gt;2007/10/02&lt;/edition&gt;&lt;dates&gt;&lt;year&gt;2006&lt;/year&gt;&lt;pub-dates&gt;&lt;date&gt;Sep-Oct&lt;/date&gt;&lt;/pub-dates&gt;&lt;/dates&gt;&lt;isbn&gt;1052-3057&lt;/isbn&gt;&lt;accession-num&gt;17904075&lt;/accession-num&gt;&lt;urls&gt;&lt;/urls&gt;&lt;electronic-resource-num&gt;10.1016/j.jstrokecerebrovasdis.2006.05.002&lt;/electronic-resource-num&gt;&lt;remote-database-provider&gt;NLM&lt;/remote-database-provider&gt;&lt;language&gt;eng&lt;/language&gt;&lt;/record&gt;&lt;/Cite&gt;&lt;/EndNote&gt;</w:instrText>
            </w:r>
            <w:r w:rsidR="00495A73" w:rsidRPr="00B54BF2">
              <w:fldChar w:fldCharType="separate"/>
            </w:r>
            <w:r w:rsidR="00AF1387" w:rsidRPr="00AF1387">
              <w:rPr>
                <w:noProof/>
                <w:vertAlign w:val="superscript"/>
              </w:rPr>
              <w:t>30</w:t>
            </w:r>
            <w:r w:rsidR="00495A73" w:rsidRPr="00B54BF2">
              <w:fldChar w:fldCharType="end"/>
            </w:r>
          </w:p>
        </w:tc>
      </w:tr>
      <w:tr w:rsidR="001D26F1" w:rsidRPr="00B54BF2" w14:paraId="6B7FB835" w14:textId="77777777" w:rsidTr="00240F65">
        <w:tc>
          <w:tcPr>
            <w:tcW w:w="1932" w:type="dxa"/>
          </w:tcPr>
          <w:p w14:paraId="58288CFC" w14:textId="77777777" w:rsidR="001D26F1" w:rsidRPr="00B54BF2" w:rsidRDefault="001D26F1" w:rsidP="0052304F">
            <w:pPr>
              <w:spacing w:line="240" w:lineRule="auto"/>
            </w:pPr>
          </w:p>
        </w:tc>
        <w:tc>
          <w:tcPr>
            <w:tcW w:w="1932" w:type="dxa"/>
          </w:tcPr>
          <w:p w14:paraId="26B57B7C" w14:textId="77777777" w:rsidR="001D26F1" w:rsidRPr="00B54BF2" w:rsidRDefault="001D26F1" w:rsidP="0052304F">
            <w:pPr>
              <w:spacing w:line="240" w:lineRule="auto"/>
            </w:pPr>
            <w:r w:rsidRPr="00B54BF2">
              <w:t>Myocardial infarction mortality</w:t>
            </w:r>
          </w:p>
        </w:tc>
        <w:tc>
          <w:tcPr>
            <w:tcW w:w="1932" w:type="dxa"/>
          </w:tcPr>
          <w:p w14:paraId="1B4F1905" w14:textId="77777777" w:rsidR="001D26F1" w:rsidRPr="00B54BF2" w:rsidRDefault="001D26F1" w:rsidP="0052304F">
            <w:pPr>
              <w:spacing w:line="240" w:lineRule="auto"/>
            </w:pPr>
            <w:r w:rsidRPr="00B54BF2">
              <w:t>1.30 (if in same dwelling as smoker)</w:t>
            </w:r>
          </w:p>
        </w:tc>
        <w:tc>
          <w:tcPr>
            <w:tcW w:w="1933" w:type="dxa"/>
          </w:tcPr>
          <w:p w14:paraId="447F878B" w14:textId="66F75984" w:rsidR="001D26F1" w:rsidRPr="00B54BF2" w:rsidRDefault="001D26F1" w:rsidP="00AF1387">
            <w:pPr>
              <w:spacing w:line="240" w:lineRule="auto"/>
              <w:rPr>
                <w:highlight w:val="yellow"/>
              </w:rPr>
            </w:pPr>
            <w:r w:rsidRPr="00B54BF2">
              <w:t>Law et al. (1997)</w:t>
            </w:r>
            <w:r w:rsidR="00495A73" w:rsidRPr="00B54BF2">
              <w:fldChar w:fldCharType="begin"/>
            </w:r>
            <w:r w:rsidR="00AF1387">
              <w:instrText xml:space="preserve"> ADDIN EN.CITE &lt;EndNote&gt;&lt;Cite&gt;&lt;Author&gt;Law&lt;/Author&gt;&lt;Year&gt;1997&lt;/Year&gt;&lt;RecNum&gt;25&lt;/RecNum&gt;&lt;DisplayText&gt;&lt;style face="superscript"&gt;31&lt;/style&gt;&lt;/DisplayText&gt;&lt;record&gt;&lt;rec-number&gt;25&lt;/rec-number&gt;&lt;foreign-keys&gt;&lt;key app="EN" db-id="v2x05fr5xze0tkez0psxzdxyvvstv22t5s5e"&gt;25&lt;/key&gt;&lt;/foreign-keys&gt;&lt;ref-type name="Journal Article"&gt;17&lt;/ref-type&gt;&lt;contributors&gt;&lt;authors&gt;&lt;author&gt;Law, M.R.&lt;/author&gt;&lt;author&gt;Morris, J.K.&lt;/author&gt;&lt;author&gt;Wald, N.J.&lt;/author&gt;&lt;/authors&gt;&lt;/contributors&gt;&lt;auth-address&gt;Department of Environmental and Preventive Medicine, Wolfson Institute of Preventive Medicine, St Bartholomew&amp;apos;s, London. M.R.Law@mds.qmw.ac.uk&lt;/auth-address&gt;&lt;titles&gt;&lt;title&gt;Environmental tobacco smoke exposure and ischaemic heart disease: an evaluation of the evidence&lt;/title&gt;&lt;secondary-title&gt;BMJ&lt;/secondary-title&gt;&lt;/titles&gt;&lt;periodical&gt;&lt;full-title&gt;Bmj&lt;/full-title&gt;&lt;abbr-1&gt;BMJ (Clinical research ed.)&lt;/abbr-1&gt;&lt;/periodical&gt;&lt;pages&gt;973-80&lt;/pages&gt;&lt;volume&gt;315&lt;/volume&gt;&lt;number&gt;7114&lt;/number&gt;&lt;edition&gt;1997/11/20&lt;/edition&gt;&lt;keywords&gt;&lt;keyword&gt;Aged&lt;/keyword&gt;&lt;keyword&gt;Cohort Studies&lt;/keyword&gt;&lt;keyword&gt;Confounding Factors (Epidemiology)&lt;/keyword&gt;&lt;keyword&gt;Diet&lt;/keyword&gt;&lt;keyword&gt;Great Britain/epidemiology&lt;/keyword&gt;&lt;keyword&gt;Humans&lt;/keyword&gt;&lt;keyword&gt;Middle Aged&lt;/keyword&gt;&lt;keyword&gt;Myocardial Ischemia/epidemiology/*etiology&lt;/keyword&gt;&lt;keyword&gt;Platelet Aggregation&lt;/keyword&gt;&lt;keyword&gt;Risk Factors&lt;/keyword&gt;&lt;keyword&gt;Tobacco Smoke Pollution/*adverse effects&lt;/keyword&gt;&lt;keyword&gt;United States/epidemiology&lt;/keyword&gt;&lt;keyword&gt;World Health&lt;/keyword&gt;&lt;/keywords&gt;&lt;dates&gt;&lt;year&gt;1997&lt;/year&gt;&lt;pub-dates&gt;&lt;date&gt;Oct 18&lt;/date&gt;&lt;/pub-dates&gt;&lt;/dates&gt;&lt;isbn&gt;0959-8138 (Print)&amp;#xD;0959-535x&lt;/isbn&gt;&lt;accession-num&gt;9365294&lt;/accession-num&gt;&lt;urls&gt;&lt;/urls&gt;&lt;custom2&gt;Pmc2127675&lt;/custom2&gt;&lt;remote-database-provider&gt;NLM&lt;/remote-database-provider&gt;&lt;language&gt;eng&lt;/language&gt;&lt;/record&gt;&lt;/Cite&gt;&lt;/EndNote&gt;</w:instrText>
            </w:r>
            <w:r w:rsidR="00495A73" w:rsidRPr="00B54BF2">
              <w:fldChar w:fldCharType="separate"/>
            </w:r>
            <w:r w:rsidR="00AF1387" w:rsidRPr="00AF1387">
              <w:rPr>
                <w:noProof/>
                <w:vertAlign w:val="superscript"/>
              </w:rPr>
              <w:t>31</w:t>
            </w:r>
            <w:r w:rsidR="00495A73" w:rsidRPr="00B54BF2">
              <w:fldChar w:fldCharType="end"/>
            </w:r>
          </w:p>
        </w:tc>
      </w:tr>
      <w:tr w:rsidR="001D26F1" w:rsidRPr="00B54BF2" w14:paraId="4278163A" w14:textId="77777777" w:rsidTr="00240F65">
        <w:tc>
          <w:tcPr>
            <w:tcW w:w="1932" w:type="dxa"/>
          </w:tcPr>
          <w:p w14:paraId="1DCACBDB" w14:textId="77777777" w:rsidR="001D26F1" w:rsidRPr="00B54BF2" w:rsidRDefault="001D26F1" w:rsidP="0052304F">
            <w:pPr>
              <w:spacing w:line="240" w:lineRule="auto"/>
            </w:pPr>
            <w:r w:rsidRPr="00B54BF2">
              <w:t>Radon</w:t>
            </w:r>
          </w:p>
        </w:tc>
        <w:tc>
          <w:tcPr>
            <w:tcW w:w="1932" w:type="dxa"/>
          </w:tcPr>
          <w:p w14:paraId="07FB5B1E" w14:textId="77777777" w:rsidR="001D26F1" w:rsidRPr="00B54BF2" w:rsidRDefault="001D26F1" w:rsidP="0052304F">
            <w:pPr>
              <w:spacing w:line="240" w:lineRule="auto"/>
            </w:pPr>
            <w:r w:rsidRPr="00B54BF2">
              <w:t>Lung cancer mortality</w:t>
            </w:r>
          </w:p>
        </w:tc>
        <w:tc>
          <w:tcPr>
            <w:tcW w:w="1932" w:type="dxa"/>
          </w:tcPr>
          <w:p w14:paraId="50E3371C" w14:textId="0B3CB1DB" w:rsidR="001D26F1" w:rsidRPr="00B54BF2" w:rsidRDefault="001D26F1" w:rsidP="00BA48C0">
            <w:pPr>
              <w:spacing w:line="240" w:lineRule="auto"/>
            </w:pPr>
            <w:r w:rsidRPr="00B54BF2">
              <w:t>1.16 per 100 Bq</w:t>
            </w:r>
            <w:r w:rsidR="00BA48C0">
              <w:t xml:space="preserve"> </w:t>
            </w:r>
            <w:r w:rsidR="00BA48C0" w:rsidRPr="00B54BF2">
              <w:t>m</w:t>
            </w:r>
            <w:r w:rsidR="00BA48C0">
              <w:rPr>
                <w:vertAlign w:val="superscript"/>
              </w:rPr>
              <w:t>-3</w:t>
            </w:r>
          </w:p>
        </w:tc>
        <w:tc>
          <w:tcPr>
            <w:tcW w:w="1933" w:type="dxa"/>
          </w:tcPr>
          <w:p w14:paraId="37C60344" w14:textId="2974419E" w:rsidR="001D26F1" w:rsidRPr="00B54BF2" w:rsidRDefault="001D26F1" w:rsidP="00AF1387">
            <w:pPr>
              <w:spacing w:line="240" w:lineRule="auto"/>
              <w:rPr>
                <w:highlight w:val="yellow"/>
              </w:rPr>
            </w:pPr>
            <w:r w:rsidRPr="00B54BF2">
              <w:t>Darby et al. (2005)</w:t>
            </w:r>
            <w:r w:rsidR="00495A73" w:rsidRPr="00B54BF2">
              <w:fldChar w:fldCharType="begin">
                <w:fldData xml:space="preserve">PEVuZE5vdGU+PENpdGU+PEF1dGhvcj5EYXJieTwvQXV0aG9yPjxZZWFyPjIwMDU8L1llYXI+PFJl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</w:fldData>
              </w:fldChar>
            </w:r>
            <w:r w:rsidR="00AF1387">
              <w:instrText xml:space="preserve"> ADDIN EN.CITE </w:instrText>
            </w:r>
            <w:r w:rsidR="00AF1387">
              <w:fldChar w:fldCharType="begin">
                <w:fldData xml:space="preserve">PEVuZE5vdGU+PENpdGU+PEF1dGhvcj5EYXJieTwvQXV0aG9yPjxZZWFyPjIwMDU8L1llYXI+PFJl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</w:fldData>
              </w:fldChar>
            </w:r>
            <w:r w:rsidR="00AF1387">
              <w:instrText xml:space="preserve"> ADDIN EN.CITE.DATA </w:instrText>
            </w:r>
            <w:r w:rsidR="00AF1387">
              <w:fldChar w:fldCharType="end"/>
            </w:r>
            <w:r w:rsidR="00495A73" w:rsidRPr="00B54BF2">
              <w:fldChar w:fldCharType="separate"/>
            </w:r>
            <w:r w:rsidR="00AF1387" w:rsidRPr="00AF1387">
              <w:rPr>
                <w:noProof/>
                <w:vertAlign w:val="superscript"/>
              </w:rPr>
              <w:t>32</w:t>
            </w:r>
            <w:r w:rsidR="00495A73" w:rsidRPr="00B54BF2">
              <w:fldChar w:fldCharType="end"/>
            </w:r>
          </w:p>
        </w:tc>
      </w:tr>
    </w:tbl>
    <w:p w14:paraId="13F996B3" w14:textId="77777777" w:rsidR="001D26F1" w:rsidRPr="00B54BF2" w:rsidRDefault="001D26F1" w:rsidP="0052304F">
      <w:pPr>
        <w:spacing w:line="480" w:lineRule="auto"/>
      </w:pPr>
    </w:p>
    <w:p w14:paraId="69170C85" w14:textId="77777777" w:rsidR="001D26F1" w:rsidRPr="00B54BF2" w:rsidRDefault="001D26F1" w:rsidP="0052304F">
      <w:pPr>
        <w:spacing w:line="480" w:lineRule="auto"/>
      </w:pPr>
    </w:p>
    <w:p w14:paraId="34482CB3" w14:textId="5A0DC2D9" w:rsidR="0094384E" w:rsidRDefault="0094384E">
      <w:r>
        <w:br w:type="page"/>
      </w:r>
    </w:p>
    <w:p w14:paraId="5CF8D885" w14:textId="34F4D424" w:rsidR="00200587" w:rsidRPr="0094384E" w:rsidRDefault="0094384E" w:rsidP="0052304F">
      <w:pPr>
        <w:spacing w:line="480" w:lineRule="auto"/>
        <w:rPr>
          <w:b/>
          <w:sz w:val="24"/>
          <w:szCs w:val="24"/>
        </w:rPr>
      </w:pPr>
      <w:r w:rsidRPr="0094384E">
        <w:rPr>
          <w:b/>
          <w:sz w:val="24"/>
          <w:szCs w:val="24"/>
        </w:rPr>
        <w:lastRenderedPageBreak/>
        <w:t>Figure captions</w:t>
      </w:r>
    </w:p>
    <w:p w14:paraId="1117ADAC" w14:textId="77777777" w:rsidR="0094384E" w:rsidRDefault="0094384E" w:rsidP="0052304F">
      <w:pPr>
        <w:spacing w:line="480" w:lineRule="auto"/>
        <w:rPr>
          <w:noProof/>
          <w:lang w:eastAsia="en-GB"/>
        </w:rPr>
      </w:pPr>
    </w:p>
    <w:p w14:paraId="5197506A" w14:textId="10B86DA0" w:rsidR="0094384E" w:rsidRDefault="0094384E" w:rsidP="0052304F">
      <w:pPr>
        <w:spacing w:line="480" w:lineRule="auto"/>
        <w:rPr>
          <w:noProof/>
          <w:lang w:eastAsia="en-GB"/>
        </w:rPr>
      </w:pPr>
      <w:r w:rsidRPr="00B54BF2">
        <w:rPr>
          <w:noProof/>
          <w:lang w:eastAsia="en-GB"/>
        </w:rPr>
        <w:t>Figure 1. Modelled concentrations of indoor pollut</w:t>
      </w:r>
      <w:r w:rsidR="00240F65">
        <w:rPr>
          <w:noProof/>
          <w:lang w:eastAsia="en-GB"/>
        </w:rPr>
        <w:t xml:space="preserve">ants vs. dwelling permeability for </w:t>
      </w:r>
      <w:r w:rsidRPr="00B54BF2">
        <w:rPr>
          <w:noProof/>
          <w:lang w:eastAsia="en-GB"/>
        </w:rPr>
        <w:t>detached dwelling under four di</w:t>
      </w:r>
      <w:r w:rsidR="00240F65">
        <w:rPr>
          <w:noProof/>
          <w:lang w:eastAsia="en-GB"/>
        </w:rPr>
        <w:t xml:space="preserve">fferent ventilation strategies </w:t>
      </w:r>
      <w:r w:rsidRPr="00B54BF2">
        <w:rPr>
          <w:noProof/>
          <w:lang w:eastAsia="en-GB"/>
        </w:rPr>
        <w:t>and st</w:t>
      </w:r>
      <w:r w:rsidR="00240F65">
        <w:rPr>
          <w:noProof/>
          <w:lang w:eastAsia="en-GB"/>
        </w:rPr>
        <w:t>ock weighted average</w:t>
      </w:r>
      <w:r w:rsidRPr="00B54BF2">
        <w:rPr>
          <w:noProof/>
          <w:lang w:eastAsia="en-GB"/>
        </w:rPr>
        <w:t>. [A] PM</w:t>
      </w:r>
      <w:r w:rsidRPr="00B54BF2">
        <w:rPr>
          <w:noProof/>
          <w:vertAlign w:val="subscript"/>
          <w:lang w:eastAsia="en-GB"/>
        </w:rPr>
        <w:t>2.5</w:t>
      </w:r>
      <w:r w:rsidRPr="00B54BF2">
        <w:rPr>
          <w:noProof/>
          <w:lang w:eastAsia="en-GB"/>
        </w:rPr>
        <w:t xml:space="preserve"> from outdoor sources, [B] PM</w:t>
      </w:r>
      <w:r w:rsidRPr="005C4F26">
        <w:rPr>
          <w:noProof/>
          <w:vertAlign w:val="subscript"/>
          <w:lang w:eastAsia="en-GB"/>
        </w:rPr>
        <w:t>2.5</w:t>
      </w:r>
      <w:r w:rsidRPr="00B54BF2">
        <w:rPr>
          <w:noProof/>
          <w:lang w:eastAsia="en-GB"/>
        </w:rPr>
        <w:t xml:space="preserve"> from indoor sources, [C] environmental tobacco smoke and [D] radon</w:t>
      </w:r>
      <w:r>
        <w:rPr>
          <w:noProof/>
          <w:lang w:eastAsia="en-GB"/>
        </w:rPr>
        <w:t xml:space="preserve">. </w:t>
      </w:r>
      <w:r w:rsidRPr="00B54BF2">
        <w:rPr>
          <w:noProof/>
          <w:lang w:eastAsia="en-GB"/>
        </w:rPr>
        <w:t>NOTE = no trickle vents or extract fans; T = trickle vents only; E = extract fans only; TE = trickle vents and extract fans.</w:t>
      </w:r>
    </w:p>
    <w:p w14:paraId="1B5E70BC" w14:textId="77777777" w:rsidR="0094384E" w:rsidRDefault="0094384E" w:rsidP="0052304F">
      <w:pPr>
        <w:spacing w:line="480" w:lineRule="auto"/>
      </w:pPr>
    </w:p>
    <w:p w14:paraId="546E5D00" w14:textId="327FCA51" w:rsidR="0094384E" w:rsidRDefault="0094384E" w:rsidP="0052304F">
      <w:pPr>
        <w:spacing w:line="480" w:lineRule="auto"/>
        <w:rPr>
          <w:noProof/>
          <w:lang w:eastAsia="en-GB"/>
        </w:rPr>
      </w:pPr>
      <w:r w:rsidRPr="00B54BF2">
        <w:rPr>
          <w:noProof/>
          <w:lang w:eastAsia="en-GB"/>
        </w:rPr>
        <w:t>Figure 2. [A] Energy demand for space heating vs</w:t>
      </w:r>
      <w:r w:rsidR="00240F65">
        <w:rPr>
          <w:noProof/>
          <w:lang w:eastAsia="en-GB"/>
        </w:rPr>
        <w:t xml:space="preserve">. permeability for </w:t>
      </w:r>
      <w:r w:rsidRPr="00B54BF2">
        <w:rPr>
          <w:noProof/>
          <w:lang w:eastAsia="en-GB"/>
        </w:rPr>
        <w:t>detached dwelling under four different ventilation strategies and stock weighted average</w:t>
      </w:r>
      <w:r w:rsidR="003E6B32">
        <w:rPr>
          <w:noProof/>
          <w:lang w:eastAsia="en-GB"/>
        </w:rPr>
        <w:t>,</w:t>
      </w:r>
      <w:r w:rsidRPr="00B54BF2">
        <w:rPr>
          <w:noProof/>
          <w:lang w:eastAsia="en-GB"/>
        </w:rPr>
        <w:t>[B] space heating-related CO</w:t>
      </w:r>
      <w:r w:rsidRPr="00B54BF2">
        <w:rPr>
          <w:noProof/>
          <w:vertAlign w:val="subscript"/>
          <w:lang w:eastAsia="en-GB"/>
        </w:rPr>
        <w:t>2</w:t>
      </w:r>
      <w:r w:rsidRPr="00B54BF2">
        <w:rPr>
          <w:noProof/>
          <w:lang w:eastAsia="en-GB"/>
        </w:rPr>
        <w:t xml:space="preserve"> emissions </w:t>
      </w:r>
      <w:r w:rsidR="00240F65">
        <w:rPr>
          <w:noProof/>
          <w:lang w:eastAsia="en-GB"/>
        </w:rPr>
        <w:t xml:space="preserve">vs. permeability for </w:t>
      </w:r>
      <w:r w:rsidRPr="00B54BF2">
        <w:rPr>
          <w:noProof/>
          <w:lang w:eastAsia="en-GB"/>
        </w:rPr>
        <w:t>detached dwelling for current energy supply carbon intensity and for different levels of decarbonization</w:t>
      </w:r>
      <w:r w:rsidR="003E6B32">
        <w:rPr>
          <w:noProof/>
          <w:lang w:eastAsia="en-GB"/>
        </w:rPr>
        <w:t>, and [C] years of life lost per 100,000 population vs. permeability for detached dwelling at different outdoor PM</w:t>
      </w:r>
      <w:r w:rsidR="003E6B32" w:rsidRPr="003E6B32">
        <w:rPr>
          <w:noProof/>
          <w:vertAlign w:val="subscript"/>
          <w:lang w:eastAsia="en-GB"/>
        </w:rPr>
        <w:t>2.5</w:t>
      </w:r>
      <w:r w:rsidR="005C60BB">
        <w:rPr>
          <w:noProof/>
          <w:lang w:eastAsia="en-GB"/>
        </w:rPr>
        <w:t xml:space="preserve"> concentrations</w:t>
      </w:r>
      <w:r w:rsidRPr="00B54BF2">
        <w:rPr>
          <w:noProof/>
          <w:lang w:eastAsia="en-GB"/>
        </w:rPr>
        <w:t>. NOTE = no trickle vents or extract fans; T = trickle vents only; E = extract fans only; TE = trickle vents and extract fans</w:t>
      </w:r>
      <w:r>
        <w:rPr>
          <w:noProof/>
          <w:lang w:eastAsia="en-GB"/>
        </w:rPr>
        <w:t>.</w:t>
      </w:r>
    </w:p>
    <w:p w14:paraId="57D3CEF2" w14:textId="77777777" w:rsidR="0094384E" w:rsidRDefault="0094384E" w:rsidP="0052304F">
      <w:pPr>
        <w:spacing w:line="480" w:lineRule="auto"/>
        <w:rPr>
          <w:noProof/>
          <w:lang w:eastAsia="en-GB"/>
        </w:rPr>
      </w:pPr>
    </w:p>
    <w:p w14:paraId="1EB6BF6E" w14:textId="5DA38033" w:rsidR="0094384E" w:rsidRDefault="00240F65" w:rsidP="0052304F">
      <w:pPr>
        <w:spacing w:line="480" w:lineRule="auto"/>
      </w:pPr>
      <w:r>
        <w:t xml:space="preserve">Figure 3. Curves of </w:t>
      </w:r>
      <w:r w:rsidR="0094384E" w:rsidRPr="00B54BF2">
        <w:t>annualized costs</w:t>
      </w:r>
      <w:r>
        <w:t xml:space="preserve"> for detached dwelling relating to </w:t>
      </w:r>
      <w:r w:rsidR="0094384E" w:rsidRPr="00B54BF2">
        <w:t>monetized impact on health, social cost of CO</w:t>
      </w:r>
      <w:r w:rsidR="0094384E" w:rsidRPr="00B54BF2">
        <w:rPr>
          <w:vertAlign w:val="subscript"/>
        </w:rPr>
        <w:t>2</w:t>
      </w:r>
      <w:r w:rsidR="0094384E" w:rsidRPr="00B54BF2">
        <w:t>-equivalent emissions and energy cost</w:t>
      </w:r>
      <w:r>
        <w:t>s vs. dwelling permeability</w:t>
      </w:r>
      <w:r w:rsidR="0094384E">
        <w:t xml:space="preserve">. </w:t>
      </w:r>
      <w:r w:rsidR="0094384E" w:rsidRPr="00B54BF2">
        <w:t xml:space="preserve">Red curve: monetized cost of years of life lost </w:t>
      </w:r>
      <w:r>
        <w:t xml:space="preserve">(YLL) </w:t>
      </w:r>
      <w:r>
        <w:lastRenderedPageBreak/>
        <w:t xml:space="preserve">attributable to indoor </w:t>
      </w:r>
      <w:r w:rsidR="0094384E" w:rsidRPr="00B54BF2">
        <w:t>pollutants only; green curves: YLL + social cost of CO</w:t>
      </w:r>
      <w:r w:rsidR="0094384E" w:rsidRPr="00B54BF2">
        <w:rPr>
          <w:vertAlign w:val="subscript"/>
        </w:rPr>
        <w:t>2</w:t>
      </w:r>
      <w:r w:rsidR="0094384E" w:rsidRPr="00B54BF2">
        <w:t>e emissions at £15 or £150 per tonne; grey curves: YLL + social cost of CO</w:t>
      </w:r>
      <w:r w:rsidR="0094384E" w:rsidRPr="00B54BF2">
        <w:rPr>
          <w:vertAlign w:val="subscript"/>
        </w:rPr>
        <w:t>2</w:t>
      </w:r>
      <w:r w:rsidR="0094384E" w:rsidRPr="00B54BF2">
        <w:t>e at £15 and £150 per tCO</w:t>
      </w:r>
      <w:r w:rsidR="0094384E" w:rsidRPr="00B54BF2">
        <w:rPr>
          <w:vertAlign w:val="subscript"/>
        </w:rPr>
        <w:t>2</w:t>
      </w:r>
      <w:r w:rsidR="0094384E" w:rsidRPr="00B54BF2">
        <w:t xml:space="preserve">e </w:t>
      </w:r>
      <w:r w:rsidR="00FB1360">
        <w:t>+</w:t>
      </w:r>
      <w:r w:rsidR="00FB1360" w:rsidRPr="00B54BF2">
        <w:t xml:space="preserve"> </w:t>
      </w:r>
      <w:r w:rsidR="0094384E" w:rsidRPr="00B54BF2">
        <w:t>direct fuel costs at an</w:t>
      </w:r>
      <w:r w:rsidR="0094384E">
        <w:t xml:space="preserve"> assumed tariff of £0.05 per </w:t>
      </w:r>
      <w:r w:rsidR="00BA48C0">
        <w:t>kWh</w:t>
      </w:r>
      <w:r w:rsidR="0094384E" w:rsidRPr="00B54BF2">
        <w:t>.</w:t>
      </w:r>
    </w:p>
    <w:p w14:paraId="64B69B74" w14:textId="5CEEF35E" w:rsidR="00FB1360" w:rsidRDefault="00FB1360" w:rsidP="0052304F">
      <w:pPr>
        <w:spacing w:line="480" w:lineRule="auto"/>
      </w:pPr>
    </w:p>
    <w:sectPr w:rsidR="00FB1360" w:rsidSect="00DA0292">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EA11" w14:textId="77777777" w:rsidR="00A47FF2" w:rsidRDefault="00A47FF2" w:rsidP="001D26F1">
      <w:pPr>
        <w:spacing w:after="0" w:line="240" w:lineRule="auto"/>
      </w:pPr>
      <w:r>
        <w:separator/>
      </w:r>
    </w:p>
  </w:endnote>
  <w:endnote w:type="continuationSeparator" w:id="0">
    <w:p w14:paraId="2522E657" w14:textId="77777777" w:rsidR="00A47FF2" w:rsidRDefault="00A47FF2" w:rsidP="001D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86081"/>
      <w:docPartObj>
        <w:docPartGallery w:val="Page Numbers (Bottom of Page)"/>
        <w:docPartUnique/>
      </w:docPartObj>
    </w:sdtPr>
    <w:sdtEndPr>
      <w:rPr>
        <w:noProof/>
      </w:rPr>
    </w:sdtEndPr>
    <w:sdtContent>
      <w:p w14:paraId="4274D4CE" w14:textId="77777777" w:rsidR="00E87F0A" w:rsidRDefault="00E87F0A">
        <w:pPr>
          <w:pStyle w:val="Footer"/>
          <w:jc w:val="right"/>
        </w:pPr>
        <w:r>
          <w:fldChar w:fldCharType="begin"/>
        </w:r>
        <w:r>
          <w:instrText xml:space="preserve"> PAGE   \* MERGEFORMAT </w:instrText>
        </w:r>
        <w:r>
          <w:fldChar w:fldCharType="separate"/>
        </w:r>
        <w:r w:rsidR="003D3858">
          <w:rPr>
            <w:noProof/>
          </w:rPr>
          <w:t>5</w:t>
        </w:r>
        <w:r>
          <w:rPr>
            <w:noProof/>
          </w:rPr>
          <w:fldChar w:fldCharType="end"/>
        </w:r>
      </w:p>
    </w:sdtContent>
  </w:sdt>
  <w:p w14:paraId="1714BC61" w14:textId="77777777" w:rsidR="00E87F0A" w:rsidRDefault="00E87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9D08" w14:textId="77777777" w:rsidR="00A47FF2" w:rsidRDefault="00A47FF2" w:rsidP="001D26F1">
      <w:pPr>
        <w:spacing w:after="0" w:line="240" w:lineRule="auto"/>
      </w:pPr>
      <w:r>
        <w:separator/>
      </w:r>
    </w:p>
  </w:footnote>
  <w:footnote w:type="continuationSeparator" w:id="0">
    <w:p w14:paraId="0BD50BDB" w14:textId="77777777" w:rsidR="00A47FF2" w:rsidRDefault="00A47FF2" w:rsidP="001D2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84EF5"/>
    <w:multiLevelType w:val="hybridMultilevel"/>
    <w:tmpl w:val="3C72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2A4F5C"/>
    <w:multiLevelType w:val="hybridMultilevel"/>
    <w:tmpl w:val="0E4C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0B5F83"/>
    <w:multiLevelType w:val="hybridMultilevel"/>
    <w:tmpl w:val="8A567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83C833A-679A-4DD9-ACDE-F5207E38A222}"/>
    <w:docVar w:name="dgnword-eventsink" w:val="93001288"/>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x05fr5xze0tkez0psxzdxyvvstv22t5s5e&quot;&gt;BSERT_paper_sep2014&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8507DC"/>
    <w:rsid w:val="00000E67"/>
    <w:rsid w:val="00015B41"/>
    <w:rsid w:val="0001758D"/>
    <w:rsid w:val="00025133"/>
    <w:rsid w:val="00037B5E"/>
    <w:rsid w:val="000402B9"/>
    <w:rsid w:val="000479C3"/>
    <w:rsid w:val="00056172"/>
    <w:rsid w:val="00060548"/>
    <w:rsid w:val="00060774"/>
    <w:rsid w:val="00066455"/>
    <w:rsid w:val="0007259A"/>
    <w:rsid w:val="00080830"/>
    <w:rsid w:val="000831AB"/>
    <w:rsid w:val="00085C72"/>
    <w:rsid w:val="00092C00"/>
    <w:rsid w:val="000972F8"/>
    <w:rsid w:val="000A2980"/>
    <w:rsid w:val="000A4285"/>
    <w:rsid w:val="000C3FBC"/>
    <w:rsid w:val="000C44D6"/>
    <w:rsid w:val="000D6CCE"/>
    <w:rsid w:val="000F4C2A"/>
    <w:rsid w:val="000F6C2D"/>
    <w:rsid w:val="001025D5"/>
    <w:rsid w:val="00112BC4"/>
    <w:rsid w:val="00114CCB"/>
    <w:rsid w:val="00124741"/>
    <w:rsid w:val="0013321B"/>
    <w:rsid w:val="00134D47"/>
    <w:rsid w:val="0013500C"/>
    <w:rsid w:val="00150E7E"/>
    <w:rsid w:val="001556F3"/>
    <w:rsid w:val="00161A66"/>
    <w:rsid w:val="00164A48"/>
    <w:rsid w:val="001702B6"/>
    <w:rsid w:val="00171647"/>
    <w:rsid w:val="00175E80"/>
    <w:rsid w:val="0018368D"/>
    <w:rsid w:val="001850FF"/>
    <w:rsid w:val="00191C47"/>
    <w:rsid w:val="0019410A"/>
    <w:rsid w:val="00195F8E"/>
    <w:rsid w:val="001A59FF"/>
    <w:rsid w:val="001B295D"/>
    <w:rsid w:val="001C08A7"/>
    <w:rsid w:val="001D26F1"/>
    <w:rsid w:val="001E028F"/>
    <w:rsid w:val="001E323B"/>
    <w:rsid w:val="001F11DD"/>
    <w:rsid w:val="001F2D32"/>
    <w:rsid w:val="00200587"/>
    <w:rsid w:val="002115FC"/>
    <w:rsid w:val="00216D3E"/>
    <w:rsid w:val="002244FE"/>
    <w:rsid w:val="00224ADB"/>
    <w:rsid w:val="00234402"/>
    <w:rsid w:val="00237B10"/>
    <w:rsid w:val="00240F65"/>
    <w:rsid w:val="002414BD"/>
    <w:rsid w:val="002422C2"/>
    <w:rsid w:val="00245958"/>
    <w:rsid w:val="00252D91"/>
    <w:rsid w:val="002708C4"/>
    <w:rsid w:val="0027445B"/>
    <w:rsid w:val="002822F1"/>
    <w:rsid w:val="00295CB8"/>
    <w:rsid w:val="002964AE"/>
    <w:rsid w:val="002964E3"/>
    <w:rsid w:val="002D2393"/>
    <w:rsid w:val="002D347A"/>
    <w:rsid w:val="002E148C"/>
    <w:rsid w:val="002E7B02"/>
    <w:rsid w:val="002F1DDD"/>
    <w:rsid w:val="003014F1"/>
    <w:rsid w:val="00311612"/>
    <w:rsid w:val="0031226A"/>
    <w:rsid w:val="003153B6"/>
    <w:rsid w:val="00316E44"/>
    <w:rsid w:val="00317975"/>
    <w:rsid w:val="00317D8C"/>
    <w:rsid w:val="0032371B"/>
    <w:rsid w:val="0033215D"/>
    <w:rsid w:val="003713F0"/>
    <w:rsid w:val="003727DA"/>
    <w:rsid w:val="00377160"/>
    <w:rsid w:val="00380A59"/>
    <w:rsid w:val="00385460"/>
    <w:rsid w:val="00387630"/>
    <w:rsid w:val="003902C8"/>
    <w:rsid w:val="003A098B"/>
    <w:rsid w:val="003A4B55"/>
    <w:rsid w:val="003B2FD1"/>
    <w:rsid w:val="003B4175"/>
    <w:rsid w:val="003D2BFB"/>
    <w:rsid w:val="003D3858"/>
    <w:rsid w:val="003D4A87"/>
    <w:rsid w:val="003D5610"/>
    <w:rsid w:val="003D67A7"/>
    <w:rsid w:val="003E0525"/>
    <w:rsid w:val="003E11AE"/>
    <w:rsid w:val="003E6B32"/>
    <w:rsid w:val="003F00AB"/>
    <w:rsid w:val="004002B8"/>
    <w:rsid w:val="0040726C"/>
    <w:rsid w:val="00407D19"/>
    <w:rsid w:val="00410EDF"/>
    <w:rsid w:val="00414536"/>
    <w:rsid w:val="004165EF"/>
    <w:rsid w:val="004174E8"/>
    <w:rsid w:val="004277B9"/>
    <w:rsid w:val="004326DF"/>
    <w:rsid w:val="004355E4"/>
    <w:rsid w:val="004454A6"/>
    <w:rsid w:val="004546AC"/>
    <w:rsid w:val="004624D3"/>
    <w:rsid w:val="0047341E"/>
    <w:rsid w:val="00482DEF"/>
    <w:rsid w:val="00482F55"/>
    <w:rsid w:val="004850B1"/>
    <w:rsid w:val="00485887"/>
    <w:rsid w:val="00486947"/>
    <w:rsid w:val="004875A1"/>
    <w:rsid w:val="00495A73"/>
    <w:rsid w:val="00497301"/>
    <w:rsid w:val="004A1EF0"/>
    <w:rsid w:val="004A38C3"/>
    <w:rsid w:val="004A588C"/>
    <w:rsid w:val="004A6C2D"/>
    <w:rsid w:val="004B13C7"/>
    <w:rsid w:val="004B2836"/>
    <w:rsid w:val="004D3D23"/>
    <w:rsid w:val="004E1E35"/>
    <w:rsid w:val="004F2167"/>
    <w:rsid w:val="004F3B5E"/>
    <w:rsid w:val="0052304F"/>
    <w:rsid w:val="00527D94"/>
    <w:rsid w:val="0053641D"/>
    <w:rsid w:val="00543F4D"/>
    <w:rsid w:val="005575DB"/>
    <w:rsid w:val="00557EE3"/>
    <w:rsid w:val="005615E0"/>
    <w:rsid w:val="005656CD"/>
    <w:rsid w:val="00565753"/>
    <w:rsid w:val="00573A67"/>
    <w:rsid w:val="00576B16"/>
    <w:rsid w:val="00581D74"/>
    <w:rsid w:val="00587652"/>
    <w:rsid w:val="00593CDD"/>
    <w:rsid w:val="00596523"/>
    <w:rsid w:val="005A35E6"/>
    <w:rsid w:val="005A48E2"/>
    <w:rsid w:val="005A7CB7"/>
    <w:rsid w:val="005B3F9A"/>
    <w:rsid w:val="005C4F26"/>
    <w:rsid w:val="005C60BB"/>
    <w:rsid w:val="005D18D5"/>
    <w:rsid w:val="005E0F2D"/>
    <w:rsid w:val="005E15C7"/>
    <w:rsid w:val="005E558F"/>
    <w:rsid w:val="005F1009"/>
    <w:rsid w:val="005F5E8C"/>
    <w:rsid w:val="00601D28"/>
    <w:rsid w:val="006103E5"/>
    <w:rsid w:val="00611022"/>
    <w:rsid w:val="00617B6F"/>
    <w:rsid w:val="00622AF5"/>
    <w:rsid w:val="006246DB"/>
    <w:rsid w:val="00630469"/>
    <w:rsid w:val="00640E98"/>
    <w:rsid w:val="0064160A"/>
    <w:rsid w:val="0064168A"/>
    <w:rsid w:val="00645A28"/>
    <w:rsid w:val="00650FF3"/>
    <w:rsid w:val="0065328D"/>
    <w:rsid w:val="00657E73"/>
    <w:rsid w:val="006665EA"/>
    <w:rsid w:val="006767C7"/>
    <w:rsid w:val="006A6C56"/>
    <w:rsid w:val="006B4E76"/>
    <w:rsid w:val="006B78A5"/>
    <w:rsid w:val="006C08CE"/>
    <w:rsid w:val="006C1A70"/>
    <w:rsid w:val="006C3CE6"/>
    <w:rsid w:val="006D1C72"/>
    <w:rsid w:val="006D5058"/>
    <w:rsid w:val="006E2FC1"/>
    <w:rsid w:val="006E3B5D"/>
    <w:rsid w:val="006F603D"/>
    <w:rsid w:val="00712087"/>
    <w:rsid w:val="007133E8"/>
    <w:rsid w:val="00714C47"/>
    <w:rsid w:val="007205EB"/>
    <w:rsid w:val="0072558B"/>
    <w:rsid w:val="00731AAE"/>
    <w:rsid w:val="00736187"/>
    <w:rsid w:val="00736FDA"/>
    <w:rsid w:val="007402D9"/>
    <w:rsid w:val="00766E0F"/>
    <w:rsid w:val="00766FEB"/>
    <w:rsid w:val="00774F69"/>
    <w:rsid w:val="00783574"/>
    <w:rsid w:val="00783712"/>
    <w:rsid w:val="007908CA"/>
    <w:rsid w:val="00794F2A"/>
    <w:rsid w:val="007C4205"/>
    <w:rsid w:val="007D565C"/>
    <w:rsid w:val="007E1E4F"/>
    <w:rsid w:val="007E3592"/>
    <w:rsid w:val="007E6A24"/>
    <w:rsid w:val="007E75E8"/>
    <w:rsid w:val="00800A41"/>
    <w:rsid w:val="0081146B"/>
    <w:rsid w:val="00823159"/>
    <w:rsid w:val="008254EB"/>
    <w:rsid w:val="00825EA2"/>
    <w:rsid w:val="00826E2D"/>
    <w:rsid w:val="00830B67"/>
    <w:rsid w:val="008507DC"/>
    <w:rsid w:val="00850BFD"/>
    <w:rsid w:val="00853AE0"/>
    <w:rsid w:val="00854F63"/>
    <w:rsid w:val="0085538D"/>
    <w:rsid w:val="008707E5"/>
    <w:rsid w:val="00875B9E"/>
    <w:rsid w:val="008761B2"/>
    <w:rsid w:val="00884B8D"/>
    <w:rsid w:val="00885AF6"/>
    <w:rsid w:val="008A2053"/>
    <w:rsid w:val="008A4073"/>
    <w:rsid w:val="008A7595"/>
    <w:rsid w:val="008B5384"/>
    <w:rsid w:val="008C3D2F"/>
    <w:rsid w:val="008C6127"/>
    <w:rsid w:val="008D2442"/>
    <w:rsid w:val="008D7C5A"/>
    <w:rsid w:val="008E6E52"/>
    <w:rsid w:val="008F29B2"/>
    <w:rsid w:val="008F2FAE"/>
    <w:rsid w:val="008F395F"/>
    <w:rsid w:val="00904EBA"/>
    <w:rsid w:val="00913867"/>
    <w:rsid w:val="009168DF"/>
    <w:rsid w:val="009172B6"/>
    <w:rsid w:val="00922168"/>
    <w:rsid w:val="00923340"/>
    <w:rsid w:val="009425E1"/>
    <w:rsid w:val="0094384E"/>
    <w:rsid w:val="00952DA5"/>
    <w:rsid w:val="00960B4C"/>
    <w:rsid w:val="0096651C"/>
    <w:rsid w:val="009727D9"/>
    <w:rsid w:val="00996D0C"/>
    <w:rsid w:val="009A2A02"/>
    <w:rsid w:val="009A2F43"/>
    <w:rsid w:val="009B3F42"/>
    <w:rsid w:val="009D0A1B"/>
    <w:rsid w:val="009E353E"/>
    <w:rsid w:val="009F6399"/>
    <w:rsid w:val="009F75C3"/>
    <w:rsid w:val="00A01786"/>
    <w:rsid w:val="00A1092F"/>
    <w:rsid w:val="00A11489"/>
    <w:rsid w:val="00A250A4"/>
    <w:rsid w:val="00A276B1"/>
    <w:rsid w:val="00A4331B"/>
    <w:rsid w:val="00A47FF2"/>
    <w:rsid w:val="00A55529"/>
    <w:rsid w:val="00A6674D"/>
    <w:rsid w:val="00A821B6"/>
    <w:rsid w:val="00A82489"/>
    <w:rsid w:val="00A93E94"/>
    <w:rsid w:val="00A960D2"/>
    <w:rsid w:val="00A96D4A"/>
    <w:rsid w:val="00AA78C9"/>
    <w:rsid w:val="00AB0F07"/>
    <w:rsid w:val="00AB41D8"/>
    <w:rsid w:val="00AC04AD"/>
    <w:rsid w:val="00AC38B1"/>
    <w:rsid w:val="00AD1CF9"/>
    <w:rsid w:val="00AE065B"/>
    <w:rsid w:val="00AF1387"/>
    <w:rsid w:val="00B04239"/>
    <w:rsid w:val="00B0690F"/>
    <w:rsid w:val="00B1392B"/>
    <w:rsid w:val="00B16669"/>
    <w:rsid w:val="00B17182"/>
    <w:rsid w:val="00B17EAD"/>
    <w:rsid w:val="00B54333"/>
    <w:rsid w:val="00B54BF2"/>
    <w:rsid w:val="00B61563"/>
    <w:rsid w:val="00B85BFF"/>
    <w:rsid w:val="00B9152F"/>
    <w:rsid w:val="00B91683"/>
    <w:rsid w:val="00B9290F"/>
    <w:rsid w:val="00BA48C0"/>
    <w:rsid w:val="00BB1A93"/>
    <w:rsid w:val="00BB3F1E"/>
    <w:rsid w:val="00BB621A"/>
    <w:rsid w:val="00BC415B"/>
    <w:rsid w:val="00BD5690"/>
    <w:rsid w:val="00BD6AFB"/>
    <w:rsid w:val="00BE057A"/>
    <w:rsid w:val="00BF03A5"/>
    <w:rsid w:val="00BF4767"/>
    <w:rsid w:val="00C02090"/>
    <w:rsid w:val="00C066F0"/>
    <w:rsid w:val="00C10036"/>
    <w:rsid w:val="00C17B93"/>
    <w:rsid w:val="00C312CD"/>
    <w:rsid w:val="00C45E82"/>
    <w:rsid w:val="00C52BD8"/>
    <w:rsid w:val="00C56D7C"/>
    <w:rsid w:val="00C6314B"/>
    <w:rsid w:val="00C7481C"/>
    <w:rsid w:val="00C74BBE"/>
    <w:rsid w:val="00C75E77"/>
    <w:rsid w:val="00C91ABF"/>
    <w:rsid w:val="00C9201E"/>
    <w:rsid w:val="00CA51F7"/>
    <w:rsid w:val="00CB4DED"/>
    <w:rsid w:val="00CB522C"/>
    <w:rsid w:val="00CC599C"/>
    <w:rsid w:val="00CD3A1F"/>
    <w:rsid w:val="00CE2B88"/>
    <w:rsid w:val="00CE30A6"/>
    <w:rsid w:val="00CE467A"/>
    <w:rsid w:val="00CF2AA9"/>
    <w:rsid w:val="00CF46A0"/>
    <w:rsid w:val="00CF6529"/>
    <w:rsid w:val="00D04517"/>
    <w:rsid w:val="00D07901"/>
    <w:rsid w:val="00D1060C"/>
    <w:rsid w:val="00D24E4E"/>
    <w:rsid w:val="00D265E5"/>
    <w:rsid w:val="00D26CDF"/>
    <w:rsid w:val="00D30547"/>
    <w:rsid w:val="00D3162F"/>
    <w:rsid w:val="00D31922"/>
    <w:rsid w:val="00D33E8E"/>
    <w:rsid w:val="00D366BB"/>
    <w:rsid w:val="00D459ED"/>
    <w:rsid w:val="00D52F33"/>
    <w:rsid w:val="00D5543C"/>
    <w:rsid w:val="00D64E41"/>
    <w:rsid w:val="00D7312C"/>
    <w:rsid w:val="00D76BEB"/>
    <w:rsid w:val="00D8359B"/>
    <w:rsid w:val="00D93F2A"/>
    <w:rsid w:val="00D943AA"/>
    <w:rsid w:val="00D94C16"/>
    <w:rsid w:val="00D9518E"/>
    <w:rsid w:val="00DA0292"/>
    <w:rsid w:val="00DB5FFA"/>
    <w:rsid w:val="00DC1657"/>
    <w:rsid w:val="00DC1E19"/>
    <w:rsid w:val="00DC797D"/>
    <w:rsid w:val="00DD030E"/>
    <w:rsid w:val="00DD5380"/>
    <w:rsid w:val="00DD78BE"/>
    <w:rsid w:val="00DF3229"/>
    <w:rsid w:val="00DF67FA"/>
    <w:rsid w:val="00DF6AE8"/>
    <w:rsid w:val="00E14CE5"/>
    <w:rsid w:val="00E46D22"/>
    <w:rsid w:val="00E51D84"/>
    <w:rsid w:val="00E5677F"/>
    <w:rsid w:val="00E6003E"/>
    <w:rsid w:val="00E6011D"/>
    <w:rsid w:val="00E64617"/>
    <w:rsid w:val="00E74950"/>
    <w:rsid w:val="00E772E0"/>
    <w:rsid w:val="00E86963"/>
    <w:rsid w:val="00E87F0A"/>
    <w:rsid w:val="00E93861"/>
    <w:rsid w:val="00EB4D49"/>
    <w:rsid w:val="00ED0350"/>
    <w:rsid w:val="00ED17B4"/>
    <w:rsid w:val="00EE7669"/>
    <w:rsid w:val="00EF64A5"/>
    <w:rsid w:val="00F025D7"/>
    <w:rsid w:val="00F10563"/>
    <w:rsid w:val="00F140D8"/>
    <w:rsid w:val="00F15C47"/>
    <w:rsid w:val="00F42C61"/>
    <w:rsid w:val="00F4579A"/>
    <w:rsid w:val="00F57B5B"/>
    <w:rsid w:val="00F63D54"/>
    <w:rsid w:val="00F76C35"/>
    <w:rsid w:val="00F852AB"/>
    <w:rsid w:val="00FA53F5"/>
    <w:rsid w:val="00FA6DA0"/>
    <w:rsid w:val="00FB0604"/>
    <w:rsid w:val="00FB1360"/>
    <w:rsid w:val="00FB35D0"/>
    <w:rsid w:val="00FB4DEF"/>
    <w:rsid w:val="00FB627A"/>
    <w:rsid w:val="00FB6B44"/>
    <w:rsid w:val="00FC2630"/>
    <w:rsid w:val="00FD7530"/>
    <w:rsid w:val="00FE2DF0"/>
    <w:rsid w:val="00FE6A72"/>
    <w:rsid w:val="00FF69ED"/>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CB29"/>
  <w15:docId w15:val="{EFC862A0-31FA-4DA7-BB43-441CCD3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D4A"/>
    <w:pPr>
      <w:ind w:left="720"/>
      <w:contextualSpacing/>
    </w:pPr>
  </w:style>
  <w:style w:type="character" w:styleId="Hyperlink">
    <w:name w:val="Hyperlink"/>
    <w:basedOn w:val="DefaultParagraphFont"/>
    <w:uiPriority w:val="99"/>
    <w:unhideWhenUsed/>
    <w:rsid w:val="00387630"/>
    <w:rPr>
      <w:color w:val="0563C1" w:themeColor="hyperlink"/>
      <w:u w:val="single"/>
    </w:rPr>
  </w:style>
  <w:style w:type="character" w:customStyle="1" w:styleId="st">
    <w:name w:val="st"/>
    <w:basedOn w:val="DefaultParagraphFont"/>
    <w:rsid w:val="00FC2630"/>
  </w:style>
  <w:style w:type="paragraph" w:styleId="Header">
    <w:name w:val="header"/>
    <w:basedOn w:val="Normal"/>
    <w:link w:val="HeaderChar"/>
    <w:uiPriority w:val="99"/>
    <w:unhideWhenUsed/>
    <w:rsid w:val="001D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6F1"/>
  </w:style>
  <w:style w:type="paragraph" w:styleId="Footer">
    <w:name w:val="footer"/>
    <w:basedOn w:val="Normal"/>
    <w:link w:val="FooterChar"/>
    <w:uiPriority w:val="99"/>
    <w:unhideWhenUsed/>
    <w:rsid w:val="001D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6F1"/>
  </w:style>
  <w:style w:type="paragraph" w:styleId="BalloonText">
    <w:name w:val="Balloon Text"/>
    <w:basedOn w:val="Normal"/>
    <w:link w:val="BalloonTextChar"/>
    <w:uiPriority w:val="99"/>
    <w:semiHidden/>
    <w:unhideWhenUsed/>
    <w:rsid w:val="001D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F1"/>
    <w:rPr>
      <w:rFonts w:ascii="Tahoma" w:hAnsi="Tahoma" w:cs="Tahoma"/>
      <w:sz w:val="16"/>
      <w:szCs w:val="16"/>
    </w:rPr>
  </w:style>
  <w:style w:type="paragraph" w:styleId="NormalWeb">
    <w:name w:val="Normal (Web)"/>
    <w:basedOn w:val="Normal"/>
    <w:uiPriority w:val="99"/>
    <w:semiHidden/>
    <w:unhideWhenUsed/>
    <w:rsid w:val="00E7495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495A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95A73"/>
    <w:rPr>
      <w:rFonts w:ascii="Calibri" w:hAnsi="Calibri" w:cs="Calibri"/>
      <w:noProof/>
      <w:lang w:val="en-US"/>
    </w:rPr>
  </w:style>
  <w:style w:type="paragraph" w:customStyle="1" w:styleId="EndNoteBibliography">
    <w:name w:val="EndNote Bibliography"/>
    <w:basedOn w:val="Normal"/>
    <w:link w:val="EndNoteBibliographyChar"/>
    <w:rsid w:val="00495A7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95A73"/>
    <w:rPr>
      <w:rFonts w:ascii="Calibri" w:hAnsi="Calibri" w:cs="Calibri"/>
      <w:noProof/>
      <w:lang w:val="en-US"/>
    </w:rPr>
  </w:style>
  <w:style w:type="character" w:styleId="CommentReference">
    <w:name w:val="annotation reference"/>
    <w:basedOn w:val="DefaultParagraphFont"/>
    <w:uiPriority w:val="99"/>
    <w:semiHidden/>
    <w:unhideWhenUsed/>
    <w:rsid w:val="00AE065B"/>
    <w:rPr>
      <w:sz w:val="16"/>
      <w:szCs w:val="16"/>
    </w:rPr>
  </w:style>
  <w:style w:type="paragraph" w:styleId="CommentText">
    <w:name w:val="annotation text"/>
    <w:basedOn w:val="Normal"/>
    <w:link w:val="CommentTextChar"/>
    <w:uiPriority w:val="99"/>
    <w:semiHidden/>
    <w:unhideWhenUsed/>
    <w:rsid w:val="00AE065B"/>
    <w:pPr>
      <w:spacing w:line="240" w:lineRule="auto"/>
    </w:pPr>
    <w:rPr>
      <w:sz w:val="20"/>
      <w:szCs w:val="20"/>
    </w:rPr>
  </w:style>
  <w:style w:type="character" w:customStyle="1" w:styleId="CommentTextChar">
    <w:name w:val="Comment Text Char"/>
    <w:basedOn w:val="DefaultParagraphFont"/>
    <w:link w:val="CommentText"/>
    <w:uiPriority w:val="99"/>
    <w:semiHidden/>
    <w:rsid w:val="00AE065B"/>
    <w:rPr>
      <w:sz w:val="20"/>
      <w:szCs w:val="20"/>
    </w:rPr>
  </w:style>
  <w:style w:type="paragraph" w:styleId="CommentSubject">
    <w:name w:val="annotation subject"/>
    <w:basedOn w:val="CommentText"/>
    <w:next w:val="CommentText"/>
    <w:link w:val="CommentSubjectChar"/>
    <w:uiPriority w:val="99"/>
    <w:semiHidden/>
    <w:unhideWhenUsed/>
    <w:rsid w:val="00AE065B"/>
    <w:rPr>
      <w:b/>
      <w:bCs/>
    </w:rPr>
  </w:style>
  <w:style w:type="character" w:customStyle="1" w:styleId="CommentSubjectChar">
    <w:name w:val="Comment Subject Char"/>
    <w:basedOn w:val="CommentTextChar"/>
    <w:link w:val="CommentSubject"/>
    <w:uiPriority w:val="99"/>
    <w:semiHidden/>
    <w:rsid w:val="00AE0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32107">
      <w:bodyDiv w:val="1"/>
      <w:marLeft w:val="0"/>
      <w:marRight w:val="0"/>
      <w:marTop w:val="0"/>
      <w:marBottom w:val="0"/>
      <w:divBdr>
        <w:top w:val="none" w:sz="0" w:space="0" w:color="auto"/>
        <w:left w:val="none" w:sz="0" w:space="0" w:color="auto"/>
        <w:bottom w:val="none" w:sz="0" w:space="0" w:color="auto"/>
        <w:right w:val="none" w:sz="0" w:space="0" w:color="auto"/>
      </w:divBdr>
    </w:div>
    <w:div w:id="1167207185">
      <w:bodyDiv w:val="1"/>
      <w:marLeft w:val="60"/>
      <w:marRight w:val="60"/>
      <w:marTop w:val="60"/>
      <w:marBottom w:val="15"/>
      <w:divBdr>
        <w:top w:val="none" w:sz="0" w:space="0" w:color="auto"/>
        <w:left w:val="none" w:sz="0" w:space="0" w:color="auto"/>
        <w:bottom w:val="none" w:sz="0" w:space="0" w:color="auto"/>
        <w:right w:val="none" w:sz="0" w:space="0" w:color="auto"/>
      </w:divBdr>
      <w:divsChild>
        <w:div w:id="1856385559">
          <w:marLeft w:val="0"/>
          <w:marRight w:val="0"/>
          <w:marTop w:val="0"/>
          <w:marBottom w:val="0"/>
          <w:divBdr>
            <w:top w:val="none" w:sz="0" w:space="0" w:color="auto"/>
            <w:left w:val="none" w:sz="0" w:space="0" w:color="auto"/>
            <w:bottom w:val="none" w:sz="0" w:space="0" w:color="auto"/>
            <w:right w:val="none" w:sz="0" w:space="0" w:color="auto"/>
          </w:divBdr>
          <w:divsChild>
            <w:div w:id="1083718792">
              <w:marLeft w:val="0"/>
              <w:marRight w:val="0"/>
              <w:marTop w:val="0"/>
              <w:marBottom w:val="0"/>
              <w:divBdr>
                <w:top w:val="none" w:sz="0" w:space="0" w:color="auto"/>
                <w:left w:val="none" w:sz="0" w:space="0" w:color="auto"/>
                <w:bottom w:val="none" w:sz="0" w:space="0" w:color="auto"/>
                <w:right w:val="none" w:sz="0" w:space="0" w:color="auto"/>
              </w:divBdr>
            </w:div>
            <w:div w:id="1256010704">
              <w:marLeft w:val="0"/>
              <w:marRight w:val="0"/>
              <w:marTop w:val="0"/>
              <w:marBottom w:val="0"/>
              <w:divBdr>
                <w:top w:val="none" w:sz="0" w:space="0" w:color="auto"/>
                <w:left w:val="none" w:sz="0" w:space="0" w:color="auto"/>
                <w:bottom w:val="none" w:sz="0" w:space="0" w:color="auto"/>
                <w:right w:val="none" w:sz="0" w:space="0" w:color="auto"/>
              </w:divBdr>
            </w:div>
            <w:div w:id="1252859884">
              <w:marLeft w:val="0"/>
              <w:marRight w:val="0"/>
              <w:marTop w:val="0"/>
              <w:marBottom w:val="0"/>
              <w:divBdr>
                <w:top w:val="none" w:sz="0" w:space="0" w:color="auto"/>
                <w:left w:val="none" w:sz="0" w:space="0" w:color="auto"/>
                <w:bottom w:val="none" w:sz="0" w:space="0" w:color="auto"/>
                <w:right w:val="none" w:sz="0" w:space="0" w:color="auto"/>
              </w:divBdr>
            </w:div>
            <w:div w:id="6850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1547">
      <w:bodyDiv w:val="1"/>
      <w:marLeft w:val="0"/>
      <w:marRight w:val="0"/>
      <w:marTop w:val="0"/>
      <w:marBottom w:val="0"/>
      <w:divBdr>
        <w:top w:val="none" w:sz="0" w:space="0" w:color="auto"/>
        <w:left w:val="none" w:sz="0" w:space="0" w:color="auto"/>
        <w:bottom w:val="none" w:sz="0" w:space="0" w:color="auto"/>
        <w:right w:val="none" w:sz="0" w:space="0" w:color="auto"/>
      </w:divBdr>
      <w:divsChild>
        <w:div w:id="1051999829">
          <w:marLeft w:val="0"/>
          <w:marRight w:val="0"/>
          <w:marTop w:val="0"/>
          <w:marBottom w:val="0"/>
          <w:divBdr>
            <w:top w:val="none" w:sz="0" w:space="0" w:color="auto"/>
            <w:left w:val="none" w:sz="0" w:space="0" w:color="auto"/>
            <w:bottom w:val="none" w:sz="0" w:space="0" w:color="auto"/>
            <w:right w:val="none" w:sz="0" w:space="0" w:color="auto"/>
          </w:divBdr>
        </w:div>
        <w:div w:id="1764910580">
          <w:marLeft w:val="0"/>
          <w:marRight w:val="0"/>
          <w:marTop w:val="0"/>
          <w:marBottom w:val="0"/>
          <w:divBdr>
            <w:top w:val="none" w:sz="0" w:space="0" w:color="auto"/>
            <w:left w:val="none" w:sz="0" w:space="0" w:color="auto"/>
            <w:bottom w:val="none" w:sz="0" w:space="0" w:color="auto"/>
            <w:right w:val="none" w:sz="0" w:space="0" w:color="auto"/>
          </w:divBdr>
        </w:div>
        <w:div w:id="1911885380">
          <w:marLeft w:val="0"/>
          <w:marRight w:val="0"/>
          <w:marTop w:val="0"/>
          <w:marBottom w:val="0"/>
          <w:divBdr>
            <w:top w:val="none" w:sz="0" w:space="0" w:color="auto"/>
            <w:left w:val="none" w:sz="0" w:space="0" w:color="auto"/>
            <w:bottom w:val="none" w:sz="0" w:space="0" w:color="auto"/>
            <w:right w:val="none" w:sz="0" w:space="0" w:color="auto"/>
          </w:divBdr>
        </w:div>
      </w:divsChild>
    </w:div>
    <w:div w:id="1276131882">
      <w:bodyDiv w:val="1"/>
      <w:marLeft w:val="0"/>
      <w:marRight w:val="0"/>
      <w:marTop w:val="0"/>
      <w:marBottom w:val="0"/>
      <w:divBdr>
        <w:top w:val="none" w:sz="0" w:space="0" w:color="auto"/>
        <w:left w:val="none" w:sz="0" w:space="0" w:color="auto"/>
        <w:bottom w:val="none" w:sz="0" w:space="0" w:color="auto"/>
        <w:right w:val="none" w:sz="0" w:space="0" w:color="auto"/>
      </w:divBdr>
    </w:div>
    <w:div w:id="1865827192">
      <w:bodyDiv w:val="1"/>
      <w:marLeft w:val="0"/>
      <w:marRight w:val="0"/>
      <w:marTop w:val="0"/>
      <w:marBottom w:val="0"/>
      <w:divBdr>
        <w:top w:val="none" w:sz="0" w:space="0" w:color="auto"/>
        <w:left w:val="none" w:sz="0" w:space="0" w:color="auto"/>
        <w:bottom w:val="none" w:sz="0" w:space="0" w:color="auto"/>
        <w:right w:val="none" w:sz="0" w:space="0" w:color="auto"/>
      </w:divBdr>
    </w:div>
    <w:div w:id="19977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wilkinson@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ndonair.org.uk/london/asp/datadownload.as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08C4-1BDB-4BA6-8079-45998475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25</Pages>
  <Words>9335</Words>
  <Characters>53212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51</cp:revision>
  <cp:lastPrinted>2014-09-17T10:36:00Z</cp:lastPrinted>
  <dcterms:created xsi:type="dcterms:W3CDTF">2014-09-17T10:41:00Z</dcterms:created>
  <dcterms:modified xsi:type="dcterms:W3CDTF">2015-02-06T17:58:00Z</dcterms:modified>
</cp:coreProperties>
</file>