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546F7" w14:textId="2454FFB3" w:rsidR="00D55515" w:rsidRPr="00D55515" w:rsidRDefault="00D55515" w:rsidP="00D55515">
      <w:pPr>
        <w:rPr>
          <w:rFonts w:ascii="Calibri" w:hAnsi="Calibri" w:cstheme="minorHAnsi"/>
          <w:lang w:val="en-GB"/>
        </w:rPr>
      </w:pPr>
      <w:r>
        <w:rPr>
          <w:rFonts w:ascii="Calibri" w:hAnsi="Calibri" w:cstheme="minorHAnsi"/>
          <w:lang w:val="en-GB"/>
        </w:rPr>
        <w:t xml:space="preserve">Revised and resubmitted to </w:t>
      </w:r>
      <w:r>
        <w:rPr>
          <w:rFonts w:ascii="Calibri" w:hAnsi="Calibri" w:cstheme="minorHAnsi"/>
          <w:i/>
          <w:lang w:val="en-GB"/>
        </w:rPr>
        <w:t>Health Policy</w:t>
      </w:r>
      <w:r>
        <w:rPr>
          <w:rFonts w:ascii="Calibri" w:hAnsi="Calibri" w:cstheme="minorHAnsi"/>
          <w:lang w:val="en-GB"/>
        </w:rPr>
        <w:t>, October 2014</w:t>
      </w:r>
    </w:p>
    <w:p w14:paraId="0BE02908" w14:textId="77777777" w:rsidR="00D55515" w:rsidRPr="0038024A" w:rsidRDefault="00D55515" w:rsidP="00D55515">
      <w:pPr>
        <w:rPr>
          <w:rFonts w:ascii="Calibri" w:hAnsi="Calibri" w:cstheme="minorHAnsi"/>
          <w:lang w:val="en-GB"/>
        </w:rPr>
      </w:pPr>
    </w:p>
    <w:p w14:paraId="3192CD55" w14:textId="77777777" w:rsidR="00D55515" w:rsidRPr="0038024A" w:rsidRDefault="00D55515" w:rsidP="00D55515">
      <w:pPr>
        <w:pStyle w:val="Heading2"/>
        <w:jc w:val="center"/>
        <w:rPr>
          <w:rFonts w:ascii="Calibri" w:hAnsi="Calibri" w:cstheme="minorHAnsi"/>
          <w:color w:val="auto"/>
          <w:sz w:val="32"/>
          <w:lang w:val="en-GB"/>
        </w:rPr>
      </w:pPr>
      <w:r w:rsidRPr="00710BD3">
        <w:rPr>
          <w:rFonts w:ascii="Calibri" w:hAnsi="Calibri" w:cstheme="minorHAnsi"/>
          <w:color w:val="auto"/>
          <w:sz w:val="32"/>
          <w:lang w:val="en-GB"/>
        </w:rPr>
        <w:t>Potential impact of removing General Practice boundaries in England: a policy analysis</w:t>
      </w:r>
    </w:p>
    <w:p w14:paraId="67DBFCE9" w14:textId="77777777" w:rsidR="00D55515" w:rsidRPr="0038024A" w:rsidRDefault="00D55515" w:rsidP="00D55515">
      <w:pPr>
        <w:pStyle w:val="Heading2"/>
        <w:rPr>
          <w:rFonts w:ascii="Calibri" w:hAnsi="Calibri" w:cstheme="minorHAnsi"/>
          <w:color w:val="auto"/>
          <w:lang w:val="en-GB"/>
        </w:rPr>
      </w:pPr>
    </w:p>
    <w:p w14:paraId="7D8257F9" w14:textId="77777777" w:rsidR="00D55515" w:rsidRPr="0038024A" w:rsidRDefault="00D55515" w:rsidP="00D55515">
      <w:pPr>
        <w:pStyle w:val="Heading2"/>
        <w:jc w:val="center"/>
        <w:rPr>
          <w:rFonts w:ascii="Calibri" w:hAnsi="Calibri" w:cstheme="minorHAnsi"/>
          <w:color w:val="auto"/>
          <w:sz w:val="22"/>
          <w:szCs w:val="22"/>
          <w:lang w:val="en-GB"/>
        </w:rPr>
      </w:pPr>
      <w:r w:rsidRPr="0038024A">
        <w:rPr>
          <w:rFonts w:ascii="Calibri" w:hAnsi="Calibri" w:cstheme="minorHAnsi"/>
          <w:color w:val="auto"/>
          <w:sz w:val="22"/>
          <w:szCs w:val="22"/>
          <w:lang w:val="en-GB"/>
        </w:rPr>
        <w:t>Nicholas Mays, Stefanie Tan*, Elizabeth Eastmure,</w:t>
      </w:r>
    </w:p>
    <w:p w14:paraId="0C75E9CA" w14:textId="77777777" w:rsidR="00D55515" w:rsidRPr="0038024A" w:rsidRDefault="00D55515" w:rsidP="00D55515">
      <w:pPr>
        <w:pStyle w:val="Heading2"/>
        <w:jc w:val="center"/>
        <w:rPr>
          <w:rFonts w:ascii="Calibri" w:hAnsi="Calibri" w:cstheme="minorHAnsi"/>
          <w:color w:val="auto"/>
          <w:sz w:val="22"/>
          <w:szCs w:val="22"/>
          <w:vertAlign w:val="superscript"/>
          <w:lang w:val="en-GB"/>
        </w:rPr>
      </w:pPr>
      <w:r w:rsidRPr="0038024A">
        <w:rPr>
          <w:rFonts w:ascii="Calibri" w:hAnsi="Calibri" w:cstheme="minorHAnsi"/>
          <w:color w:val="auto"/>
          <w:sz w:val="22"/>
          <w:szCs w:val="22"/>
          <w:lang w:val="en-GB"/>
        </w:rPr>
        <w:t>Bob Erens, Mylene Lagarde &amp; Michael Wright</w:t>
      </w:r>
    </w:p>
    <w:p w14:paraId="2296A774" w14:textId="77777777" w:rsidR="00D55515" w:rsidRPr="0038024A" w:rsidRDefault="00D55515" w:rsidP="00D55515">
      <w:pPr>
        <w:pStyle w:val="Heading2"/>
        <w:rPr>
          <w:rFonts w:ascii="Calibri" w:hAnsi="Calibri" w:cstheme="minorHAnsi"/>
          <w:b w:val="0"/>
          <w:color w:val="auto"/>
          <w:sz w:val="22"/>
          <w:szCs w:val="22"/>
          <w:lang w:val="en-GB"/>
        </w:rPr>
      </w:pPr>
    </w:p>
    <w:p w14:paraId="08A2C20B" w14:textId="77777777" w:rsidR="00D55515" w:rsidRPr="0038024A" w:rsidRDefault="00D55515" w:rsidP="00D55515">
      <w:pPr>
        <w:rPr>
          <w:rFonts w:ascii="Calibri" w:hAnsi="Calibri"/>
          <w:lang w:val="en-GB"/>
        </w:rPr>
      </w:pPr>
    </w:p>
    <w:p w14:paraId="66FADC9C" w14:textId="77777777" w:rsidR="00D55515" w:rsidRPr="0038024A" w:rsidRDefault="00D55515" w:rsidP="00D55515">
      <w:pPr>
        <w:rPr>
          <w:rFonts w:ascii="Calibri" w:hAnsi="Calibri"/>
          <w:lang w:val="en-GB"/>
        </w:rPr>
      </w:pPr>
    </w:p>
    <w:p w14:paraId="40EE4ADA" w14:textId="77777777" w:rsidR="00D55515" w:rsidRPr="0038024A" w:rsidRDefault="00D55515" w:rsidP="00D55515">
      <w:pPr>
        <w:rPr>
          <w:rFonts w:ascii="Calibri" w:hAnsi="Calibri"/>
          <w:lang w:val="en-GB"/>
        </w:rPr>
      </w:pPr>
    </w:p>
    <w:p w14:paraId="10BA628B" w14:textId="77777777" w:rsidR="00D55515" w:rsidRPr="0038024A" w:rsidRDefault="00D55515" w:rsidP="00D55515">
      <w:pPr>
        <w:pStyle w:val="Heading2"/>
        <w:jc w:val="center"/>
        <w:rPr>
          <w:rFonts w:ascii="Calibri" w:hAnsi="Calibri" w:cstheme="minorHAnsi"/>
          <w:b w:val="0"/>
          <w:color w:val="auto"/>
          <w:sz w:val="22"/>
          <w:szCs w:val="22"/>
          <w:lang w:val="en-GB"/>
        </w:rPr>
      </w:pPr>
      <w:r w:rsidRPr="0038024A">
        <w:rPr>
          <w:rFonts w:ascii="Calibri" w:hAnsi="Calibri" w:cstheme="minorHAnsi"/>
          <w:b w:val="0"/>
          <w:color w:val="auto"/>
          <w:sz w:val="22"/>
          <w:szCs w:val="22"/>
          <w:lang w:val="en-GB"/>
        </w:rPr>
        <w:t>Policy Research Unit in Policy Innovation Research</w:t>
      </w:r>
    </w:p>
    <w:p w14:paraId="59631DB3" w14:textId="77777777" w:rsidR="00D55515" w:rsidRPr="0038024A" w:rsidRDefault="00D55515" w:rsidP="00D55515">
      <w:pPr>
        <w:pStyle w:val="Heading2"/>
        <w:jc w:val="center"/>
        <w:rPr>
          <w:rFonts w:ascii="Calibri" w:hAnsi="Calibri" w:cstheme="minorHAnsi"/>
          <w:b w:val="0"/>
          <w:color w:val="auto"/>
          <w:sz w:val="22"/>
          <w:szCs w:val="22"/>
          <w:lang w:val="en-GB"/>
        </w:rPr>
      </w:pPr>
      <w:r w:rsidRPr="0038024A">
        <w:rPr>
          <w:rFonts w:ascii="Calibri" w:hAnsi="Calibri" w:cstheme="minorHAnsi"/>
          <w:b w:val="0"/>
          <w:color w:val="auto"/>
          <w:sz w:val="22"/>
          <w:szCs w:val="22"/>
          <w:lang w:val="en-GB"/>
        </w:rPr>
        <w:t>Department of Health Services Research &amp; Policy</w:t>
      </w:r>
      <w:r w:rsidRPr="0038024A">
        <w:rPr>
          <w:rFonts w:ascii="Calibri" w:hAnsi="Calibri" w:cstheme="minorHAnsi"/>
          <w:b w:val="0"/>
          <w:color w:val="auto"/>
          <w:sz w:val="22"/>
          <w:szCs w:val="22"/>
          <w:lang w:val="en-GB"/>
        </w:rPr>
        <w:br/>
        <w:t>London School of Hygiene and Tropical Medicine</w:t>
      </w:r>
    </w:p>
    <w:p w14:paraId="4A774680" w14:textId="77777777" w:rsidR="00D55515" w:rsidRPr="0038024A" w:rsidRDefault="00D55515" w:rsidP="00D55515">
      <w:pPr>
        <w:pStyle w:val="Heading2"/>
        <w:jc w:val="center"/>
        <w:rPr>
          <w:rFonts w:ascii="Calibri" w:hAnsi="Calibri" w:cstheme="minorHAnsi"/>
          <w:b w:val="0"/>
          <w:color w:val="auto"/>
          <w:sz w:val="22"/>
          <w:szCs w:val="22"/>
          <w:lang w:val="en-GB"/>
        </w:rPr>
      </w:pPr>
      <w:r w:rsidRPr="0038024A">
        <w:rPr>
          <w:rFonts w:ascii="Calibri" w:hAnsi="Calibri" w:cstheme="minorHAnsi"/>
          <w:b w:val="0"/>
          <w:color w:val="auto"/>
          <w:sz w:val="22"/>
          <w:szCs w:val="22"/>
          <w:lang w:val="en-GB"/>
        </w:rPr>
        <w:t>15-17 Tavistock Place</w:t>
      </w:r>
    </w:p>
    <w:p w14:paraId="5CD87A9C" w14:textId="77777777" w:rsidR="00D55515" w:rsidRPr="0038024A" w:rsidRDefault="00D55515" w:rsidP="00D55515">
      <w:pPr>
        <w:pStyle w:val="Heading2"/>
        <w:jc w:val="center"/>
        <w:rPr>
          <w:rFonts w:ascii="Calibri" w:hAnsi="Calibri" w:cstheme="minorHAnsi"/>
          <w:b w:val="0"/>
          <w:color w:val="auto"/>
          <w:sz w:val="22"/>
          <w:szCs w:val="22"/>
          <w:lang w:val="en-GB"/>
        </w:rPr>
      </w:pPr>
      <w:r w:rsidRPr="0038024A">
        <w:rPr>
          <w:rFonts w:ascii="Calibri" w:hAnsi="Calibri" w:cstheme="minorHAnsi"/>
          <w:b w:val="0"/>
          <w:color w:val="auto"/>
          <w:sz w:val="22"/>
          <w:szCs w:val="22"/>
          <w:lang w:val="en-GB"/>
        </w:rPr>
        <w:t>London WC1H 9SH</w:t>
      </w:r>
    </w:p>
    <w:p w14:paraId="77E491E7" w14:textId="77777777" w:rsidR="00D55515" w:rsidRPr="0038024A" w:rsidRDefault="00D55515" w:rsidP="00D55515">
      <w:pPr>
        <w:rPr>
          <w:rFonts w:ascii="Calibri" w:hAnsi="Calibri"/>
          <w:lang w:val="en-GB"/>
        </w:rPr>
      </w:pPr>
    </w:p>
    <w:p w14:paraId="16BE45F4" w14:textId="77777777" w:rsidR="00D55515" w:rsidRPr="0038024A" w:rsidRDefault="00D55515" w:rsidP="00D55515">
      <w:pPr>
        <w:rPr>
          <w:rFonts w:ascii="Calibri" w:hAnsi="Calibri"/>
          <w:lang w:val="en-GB"/>
        </w:rPr>
      </w:pPr>
    </w:p>
    <w:p w14:paraId="1C8E5F02" w14:textId="77777777" w:rsidR="00D55515" w:rsidRPr="0038024A" w:rsidRDefault="00D55515" w:rsidP="00D55515">
      <w:pPr>
        <w:rPr>
          <w:rFonts w:ascii="Calibri" w:hAnsi="Calibri"/>
          <w:lang w:val="en-GB"/>
        </w:rPr>
      </w:pPr>
    </w:p>
    <w:p w14:paraId="1CDFA080" w14:textId="77777777" w:rsidR="00D55515" w:rsidRPr="0038024A" w:rsidRDefault="00D55515" w:rsidP="00D55515">
      <w:pPr>
        <w:pStyle w:val="Heading3"/>
        <w:rPr>
          <w:rFonts w:ascii="Calibri" w:hAnsi="Calibri" w:cstheme="minorHAnsi"/>
          <w:color w:val="auto"/>
          <w:sz w:val="22"/>
          <w:lang w:val="en-GB"/>
        </w:rPr>
      </w:pPr>
      <w:r w:rsidRPr="0038024A">
        <w:rPr>
          <w:rFonts w:ascii="Calibri" w:hAnsi="Calibri" w:cstheme="minorHAnsi"/>
          <w:color w:val="auto"/>
          <w:sz w:val="22"/>
          <w:lang w:val="en-GB"/>
        </w:rPr>
        <w:t>*Corresponding author: Stefanie.Tan@lshtm.ac.uk</w:t>
      </w:r>
    </w:p>
    <w:p w14:paraId="4A1D20FF" w14:textId="77777777" w:rsidR="00D55515" w:rsidRPr="0038024A" w:rsidRDefault="00D55515" w:rsidP="00D55515">
      <w:pPr>
        <w:spacing w:after="200" w:line="276" w:lineRule="auto"/>
        <w:rPr>
          <w:rFonts w:ascii="Calibri" w:hAnsi="Calibri" w:cstheme="minorHAnsi"/>
          <w:sz w:val="22"/>
          <w:lang w:val="en-GB"/>
        </w:rPr>
      </w:pPr>
    </w:p>
    <w:p w14:paraId="5A87AFF3" w14:textId="77777777" w:rsidR="00D55515" w:rsidRPr="0038024A" w:rsidRDefault="00D55515" w:rsidP="00D55515">
      <w:pPr>
        <w:spacing w:after="200" w:line="276" w:lineRule="auto"/>
        <w:rPr>
          <w:rFonts w:ascii="Calibri" w:hAnsi="Calibri" w:cstheme="minorHAnsi"/>
          <w:sz w:val="22"/>
          <w:lang w:val="en-GB"/>
        </w:rPr>
      </w:pPr>
      <w:r w:rsidRPr="0038024A">
        <w:rPr>
          <w:rFonts w:ascii="Calibri" w:hAnsi="Calibri" w:cstheme="minorHAnsi"/>
          <w:sz w:val="22"/>
          <w:lang w:val="en-GB"/>
        </w:rPr>
        <w:t xml:space="preserve">Abstract: </w:t>
      </w:r>
      <w:r>
        <w:rPr>
          <w:rFonts w:ascii="Calibri" w:hAnsi="Calibri" w:cstheme="minorHAnsi"/>
          <w:sz w:val="22"/>
          <w:lang w:val="en-GB"/>
        </w:rPr>
        <w:t>200</w:t>
      </w:r>
      <w:r w:rsidRPr="0038024A">
        <w:rPr>
          <w:rFonts w:ascii="Calibri" w:hAnsi="Calibri" w:cstheme="minorHAnsi"/>
          <w:sz w:val="22"/>
          <w:lang w:val="en-GB"/>
        </w:rPr>
        <w:t xml:space="preserve"> words</w:t>
      </w:r>
    </w:p>
    <w:p w14:paraId="2275EAE6" w14:textId="77777777" w:rsidR="00D55515" w:rsidRPr="0038024A" w:rsidRDefault="00D55515" w:rsidP="00D55515">
      <w:pPr>
        <w:spacing w:after="200" w:line="276" w:lineRule="auto"/>
        <w:rPr>
          <w:rFonts w:ascii="Calibri" w:hAnsi="Calibri" w:cstheme="minorHAnsi"/>
          <w:sz w:val="22"/>
          <w:lang w:val="en-GB"/>
        </w:rPr>
      </w:pPr>
      <w:r w:rsidRPr="0038024A">
        <w:rPr>
          <w:rFonts w:ascii="Calibri" w:hAnsi="Calibri" w:cstheme="minorHAnsi"/>
          <w:sz w:val="22"/>
          <w:lang w:val="en-GB"/>
        </w:rPr>
        <w:t>Word count: 2</w:t>
      </w:r>
      <w:r>
        <w:rPr>
          <w:rFonts w:ascii="Calibri" w:hAnsi="Calibri" w:cstheme="minorHAnsi"/>
          <w:sz w:val="22"/>
          <w:lang w:val="en-GB"/>
        </w:rPr>
        <w:t>509</w:t>
      </w:r>
      <w:r w:rsidRPr="0038024A">
        <w:rPr>
          <w:rFonts w:ascii="Calibri" w:hAnsi="Calibri" w:cstheme="minorHAnsi"/>
          <w:sz w:val="22"/>
          <w:lang w:val="en-GB"/>
        </w:rPr>
        <w:t xml:space="preserve"> words</w:t>
      </w:r>
      <w:r>
        <w:rPr>
          <w:rFonts w:ascii="Calibri" w:hAnsi="Calibri" w:cstheme="minorHAnsi"/>
          <w:sz w:val="22"/>
          <w:lang w:val="en-GB"/>
        </w:rPr>
        <w:t xml:space="preserve"> excluding tables and references</w:t>
      </w:r>
    </w:p>
    <w:p w14:paraId="20C1496E" w14:textId="77777777" w:rsidR="00D55515" w:rsidRPr="0038024A" w:rsidRDefault="00D55515" w:rsidP="00D55515">
      <w:pPr>
        <w:spacing w:after="200" w:line="276" w:lineRule="auto"/>
        <w:rPr>
          <w:rFonts w:ascii="Calibri" w:hAnsi="Calibri" w:cstheme="minorHAnsi"/>
          <w:sz w:val="22"/>
          <w:lang w:val="en-GB"/>
        </w:rPr>
      </w:pPr>
    </w:p>
    <w:p w14:paraId="322ACC91" w14:textId="77777777" w:rsidR="00D55515" w:rsidRPr="0038024A" w:rsidRDefault="00D55515" w:rsidP="00D55515">
      <w:pPr>
        <w:spacing w:after="200" w:line="276" w:lineRule="auto"/>
        <w:rPr>
          <w:rFonts w:ascii="Calibri" w:hAnsi="Calibri" w:cstheme="minorHAnsi"/>
          <w:b/>
          <w:sz w:val="20"/>
          <w:lang w:val="en-GB"/>
        </w:rPr>
      </w:pPr>
    </w:p>
    <w:p w14:paraId="2EF694B8" w14:textId="77777777" w:rsidR="00D55515" w:rsidRPr="0038024A" w:rsidRDefault="00D55515" w:rsidP="00D55515">
      <w:pPr>
        <w:spacing w:after="200" w:line="276" w:lineRule="auto"/>
        <w:rPr>
          <w:rFonts w:ascii="Calibri" w:hAnsi="Calibri" w:cstheme="minorHAnsi"/>
          <w:b/>
          <w:sz w:val="20"/>
          <w:lang w:val="en-GB"/>
        </w:rPr>
      </w:pPr>
    </w:p>
    <w:p w14:paraId="44B4199B" w14:textId="77777777" w:rsidR="00D55515" w:rsidRPr="0038024A" w:rsidRDefault="00D55515" w:rsidP="00D55515">
      <w:pPr>
        <w:spacing w:after="200" w:line="276" w:lineRule="auto"/>
        <w:rPr>
          <w:rFonts w:ascii="Calibri" w:hAnsi="Calibri" w:cstheme="minorHAnsi"/>
          <w:b/>
          <w:sz w:val="20"/>
          <w:lang w:val="en-GB"/>
        </w:rPr>
      </w:pPr>
    </w:p>
    <w:p w14:paraId="4C472314" w14:textId="77777777" w:rsidR="00D55515" w:rsidRPr="0038024A" w:rsidRDefault="00D55515" w:rsidP="00D55515">
      <w:pPr>
        <w:spacing w:after="200" w:line="276" w:lineRule="auto"/>
        <w:rPr>
          <w:rFonts w:ascii="Calibri" w:hAnsi="Calibri"/>
          <w:b/>
          <w:sz w:val="22"/>
          <w:lang w:val="en-GB"/>
        </w:rPr>
      </w:pPr>
      <w:r w:rsidRPr="0038024A">
        <w:rPr>
          <w:rFonts w:ascii="Calibri" w:hAnsi="Calibri"/>
          <w:b/>
          <w:sz w:val="22"/>
          <w:lang w:val="en-GB"/>
        </w:rPr>
        <w:t>Competing interests</w:t>
      </w:r>
    </w:p>
    <w:p w14:paraId="601992F3" w14:textId="77777777" w:rsidR="00D55515" w:rsidRPr="0038024A" w:rsidRDefault="00D55515" w:rsidP="00D55515">
      <w:pPr>
        <w:pStyle w:val="Heading3"/>
        <w:rPr>
          <w:rFonts w:ascii="Calibri" w:hAnsi="Calibri" w:cstheme="minorHAnsi"/>
          <w:b w:val="0"/>
          <w:color w:val="auto"/>
          <w:sz w:val="22"/>
          <w:lang w:val="en-GB"/>
        </w:rPr>
      </w:pPr>
      <w:r w:rsidRPr="0038024A">
        <w:rPr>
          <w:rFonts w:ascii="Calibri" w:hAnsi="Calibri" w:cstheme="minorHAnsi"/>
          <w:b w:val="0"/>
          <w:color w:val="auto"/>
          <w:sz w:val="22"/>
          <w:lang w:val="en-GB"/>
        </w:rPr>
        <w:t>We have no competing interests.</w:t>
      </w:r>
    </w:p>
    <w:p w14:paraId="50276891" w14:textId="77777777" w:rsidR="00D55515" w:rsidRPr="0038024A" w:rsidRDefault="00D55515" w:rsidP="00D55515">
      <w:pPr>
        <w:pStyle w:val="Heading3"/>
        <w:rPr>
          <w:rFonts w:ascii="Calibri" w:hAnsi="Calibri" w:cstheme="minorHAnsi"/>
          <w:color w:val="auto"/>
          <w:sz w:val="22"/>
          <w:lang w:val="en-GB"/>
        </w:rPr>
      </w:pPr>
      <w:r w:rsidRPr="0038024A">
        <w:rPr>
          <w:rFonts w:ascii="Calibri" w:hAnsi="Calibri" w:cstheme="minorHAnsi"/>
          <w:color w:val="auto"/>
          <w:sz w:val="22"/>
          <w:lang w:val="en-GB"/>
        </w:rPr>
        <w:t>Acknowledgements</w:t>
      </w:r>
    </w:p>
    <w:p w14:paraId="12E358EC" w14:textId="77777777" w:rsidR="00D55515" w:rsidRPr="0038024A" w:rsidRDefault="00D55515" w:rsidP="00D55515">
      <w:pPr>
        <w:pStyle w:val="Heading3"/>
        <w:rPr>
          <w:rFonts w:ascii="Calibri" w:hAnsi="Calibri" w:cstheme="minorHAnsi"/>
          <w:b w:val="0"/>
          <w:color w:val="auto"/>
          <w:sz w:val="22"/>
        </w:rPr>
      </w:pPr>
      <w:r w:rsidRPr="0038024A">
        <w:rPr>
          <w:rFonts w:ascii="Calibri" w:hAnsi="Calibri" w:cstheme="minorHAnsi"/>
          <w:b w:val="0"/>
          <w:color w:val="auto"/>
          <w:sz w:val="22"/>
        </w:rPr>
        <w:t xml:space="preserve">The Policy Innovation Research Unit is funded by the Department of Health Policy Research Programme. The views expressed are those of the researchers alone and do not necessarily represent those of the Department of Health. </w:t>
      </w:r>
    </w:p>
    <w:p w14:paraId="36D70BD5" w14:textId="77777777" w:rsidR="00D55515" w:rsidRPr="0038024A" w:rsidRDefault="00D55515" w:rsidP="00D55515">
      <w:pPr>
        <w:rPr>
          <w:rFonts w:ascii="Calibri" w:hAnsi="Calibri"/>
        </w:rPr>
      </w:pPr>
    </w:p>
    <w:p w14:paraId="2AC9C708" w14:textId="72EDC9C3" w:rsidR="00D55515" w:rsidRDefault="00D55515">
      <w:pPr>
        <w:spacing w:after="200" w:line="276" w:lineRule="auto"/>
        <w:rPr>
          <w:rFonts w:cstheme="minorHAnsi"/>
          <w:b/>
          <w:lang w:val="en-GB"/>
        </w:rPr>
      </w:pPr>
    </w:p>
    <w:p w14:paraId="53B16380" w14:textId="37CC118B" w:rsidR="0015343D" w:rsidRDefault="0015343D" w:rsidP="00DA5E4D">
      <w:pPr>
        <w:rPr>
          <w:rFonts w:cstheme="minorHAnsi"/>
          <w:b/>
          <w:lang w:val="en-GB"/>
        </w:rPr>
      </w:pPr>
      <w:r>
        <w:rPr>
          <w:rFonts w:cstheme="minorHAnsi"/>
          <w:b/>
          <w:lang w:val="en-GB"/>
        </w:rPr>
        <w:t>Abstract</w:t>
      </w:r>
    </w:p>
    <w:p w14:paraId="5742FD9D" w14:textId="77777777" w:rsidR="0015343D" w:rsidRDefault="0015343D" w:rsidP="00956EB5">
      <w:pPr>
        <w:jc w:val="both"/>
        <w:rPr>
          <w:rFonts w:cstheme="minorHAnsi"/>
          <w:b/>
          <w:lang w:val="en-GB"/>
        </w:rPr>
      </w:pPr>
    </w:p>
    <w:p w14:paraId="40086141" w14:textId="6BE249DF" w:rsidR="004F6B09" w:rsidRDefault="003A1F48" w:rsidP="00332711">
      <w:pPr>
        <w:rPr>
          <w:rFonts w:cstheme="minorHAnsi"/>
        </w:rPr>
      </w:pPr>
      <w:r>
        <w:rPr>
          <w:rFonts w:cstheme="minorHAnsi"/>
          <w:lang w:val="en-GB"/>
        </w:rPr>
        <w:t>In</w:t>
      </w:r>
      <w:r w:rsidR="004F6B09">
        <w:rPr>
          <w:rFonts w:cstheme="minorHAnsi"/>
          <w:lang w:val="en-GB"/>
        </w:rPr>
        <w:t xml:space="preserve"> 201</w:t>
      </w:r>
      <w:r w:rsidR="00971054">
        <w:rPr>
          <w:rFonts w:cstheme="minorHAnsi"/>
          <w:lang w:val="en-GB"/>
        </w:rPr>
        <w:t>5</w:t>
      </w:r>
      <w:r w:rsidR="005E539A">
        <w:rPr>
          <w:rFonts w:cstheme="minorHAnsi"/>
          <w:lang w:val="en-GB"/>
        </w:rPr>
        <w:t xml:space="preserve">, the </w:t>
      </w:r>
      <w:r w:rsidR="00604016">
        <w:rPr>
          <w:rFonts w:cstheme="minorHAnsi"/>
          <w:lang w:val="en-GB"/>
        </w:rPr>
        <w:t>UK government</w:t>
      </w:r>
      <w:r w:rsidR="00971054">
        <w:rPr>
          <w:rFonts w:cstheme="minorHAnsi"/>
          <w:lang w:val="en-GB"/>
        </w:rPr>
        <w:t xml:space="preserve"> plans to</w:t>
      </w:r>
      <w:r w:rsidR="005E539A">
        <w:rPr>
          <w:rFonts w:cstheme="minorHAnsi"/>
          <w:lang w:val="en-GB"/>
        </w:rPr>
        <w:t xml:space="preserve"> </w:t>
      </w:r>
      <w:r w:rsidR="00604016">
        <w:rPr>
          <w:rFonts w:cstheme="minorHAnsi"/>
          <w:lang w:val="en-GB"/>
        </w:rPr>
        <w:t>widen patient choice of general practitioner</w:t>
      </w:r>
      <w:r>
        <w:rPr>
          <w:rFonts w:cstheme="minorHAnsi"/>
          <w:lang w:val="en-GB"/>
        </w:rPr>
        <w:t xml:space="preserve"> (GP)</w:t>
      </w:r>
      <w:r w:rsidR="00604016">
        <w:rPr>
          <w:rFonts w:cstheme="minorHAnsi"/>
          <w:lang w:val="en-GB"/>
        </w:rPr>
        <w:t xml:space="preserve"> </w:t>
      </w:r>
      <w:r w:rsidR="0021572A">
        <w:rPr>
          <w:rFonts w:cstheme="minorHAnsi"/>
          <w:lang w:val="en-GB"/>
        </w:rPr>
        <w:t xml:space="preserve">to improve access </w:t>
      </w:r>
      <w:r w:rsidR="00604016">
        <w:rPr>
          <w:rFonts w:cstheme="minorHAnsi"/>
          <w:lang w:val="en-GB"/>
        </w:rPr>
        <w:t xml:space="preserve">through </w:t>
      </w:r>
      <w:r w:rsidR="005E539A">
        <w:rPr>
          <w:rFonts w:cstheme="minorHAnsi"/>
          <w:lang w:val="en-GB"/>
        </w:rPr>
        <w:t>the</w:t>
      </w:r>
      <w:r w:rsidR="00546745" w:rsidRPr="00493F57">
        <w:rPr>
          <w:rFonts w:cstheme="minorHAnsi"/>
          <w:lang w:val="en-GB"/>
        </w:rPr>
        <w:t xml:space="preserve"> voluntary removal of practice boundarie</w:t>
      </w:r>
      <w:r w:rsidR="00604016">
        <w:rPr>
          <w:rFonts w:cstheme="minorHAnsi"/>
          <w:lang w:val="en-GB"/>
        </w:rPr>
        <w:t>s</w:t>
      </w:r>
      <w:r w:rsidR="00B460C5">
        <w:rPr>
          <w:rFonts w:cstheme="minorHAnsi"/>
          <w:lang w:val="en-GB"/>
        </w:rPr>
        <w:t xml:space="preserve"> </w:t>
      </w:r>
      <w:r w:rsidR="00BF204F">
        <w:rPr>
          <w:rFonts w:cstheme="minorHAnsi"/>
          <w:lang w:val="en-GB"/>
        </w:rPr>
        <w:t xml:space="preserve">in </w:t>
      </w:r>
      <w:r w:rsidR="00B460C5">
        <w:rPr>
          <w:rFonts w:cstheme="minorHAnsi"/>
          <w:lang w:val="en-GB"/>
        </w:rPr>
        <w:t>the English NHS</w:t>
      </w:r>
      <w:r w:rsidR="00A8052A" w:rsidRPr="00493F57">
        <w:rPr>
          <w:rFonts w:cstheme="minorHAnsi"/>
          <w:lang w:val="en-GB"/>
        </w:rPr>
        <w:t>.</w:t>
      </w:r>
      <w:r w:rsidR="000A1551">
        <w:rPr>
          <w:rFonts w:cstheme="minorHAnsi"/>
          <w:lang w:val="en-GB"/>
        </w:rPr>
        <w:t xml:space="preserve">  </w:t>
      </w:r>
      <w:r w:rsidR="00EB08E3">
        <w:rPr>
          <w:rFonts w:cstheme="minorHAnsi"/>
          <w:lang w:val="en-GB"/>
        </w:rPr>
        <w:t xml:space="preserve">This </w:t>
      </w:r>
      <w:r w:rsidR="009A3AB4">
        <w:rPr>
          <w:rFonts w:cstheme="minorHAnsi"/>
          <w:lang w:val="en-GB"/>
        </w:rPr>
        <w:t>follows a</w:t>
      </w:r>
      <w:r w:rsidR="00311039" w:rsidRPr="005E4EBB">
        <w:rPr>
          <w:rFonts w:cstheme="minorHAnsi"/>
          <w:lang w:val="en-GB"/>
        </w:rPr>
        <w:t xml:space="preserve"> 12-month </w:t>
      </w:r>
      <w:r w:rsidR="009A3AB4">
        <w:rPr>
          <w:rFonts w:cstheme="minorHAnsi"/>
          <w:lang w:val="en-GB"/>
        </w:rPr>
        <w:t>p</w:t>
      </w:r>
      <w:r w:rsidR="00311039">
        <w:rPr>
          <w:rFonts w:cstheme="minorHAnsi"/>
          <w:lang w:val="en-GB"/>
        </w:rPr>
        <w:t>ilot</w:t>
      </w:r>
      <w:r w:rsidR="0021572A">
        <w:rPr>
          <w:rFonts w:cstheme="minorHAnsi"/>
          <w:lang w:val="en-GB"/>
        </w:rPr>
        <w:t xml:space="preserve"> in four areas</w:t>
      </w:r>
      <w:r w:rsidR="009A3AB4">
        <w:rPr>
          <w:rFonts w:cstheme="minorHAnsi"/>
          <w:lang w:val="en-GB"/>
        </w:rPr>
        <w:t xml:space="preserve"> </w:t>
      </w:r>
      <w:r w:rsidR="00311039" w:rsidRPr="005E4EBB">
        <w:rPr>
          <w:rFonts w:cstheme="minorHAnsi"/>
          <w:lang w:val="en-GB"/>
        </w:rPr>
        <w:t>where volunteer GP practices accepted patients from outside their</w:t>
      </w:r>
      <w:r w:rsidR="00FF7DA3">
        <w:rPr>
          <w:rFonts w:cstheme="minorHAnsi"/>
          <w:lang w:val="en-GB"/>
        </w:rPr>
        <w:t xml:space="preserve"> </w:t>
      </w:r>
      <w:r w:rsidR="00311039" w:rsidRPr="005E4EBB">
        <w:rPr>
          <w:rFonts w:cstheme="minorHAnsi"/>
          <w:lang w:val="en-GB"/>
        </w:rPr>
        <w:t>boundaries</w:t>
      </w:r>
      <w:r w:rsidR="00EB08E3">
        <w:rPr>
          <w:rFonts w:cstheme="minorHAnsi"/>
          <w:lang w:val="en-GB"/>
        </w:rPr>
        <w:t>.</w:t>
      </w:r>
      <w:r w:rsidR="00161099">
        <w:rPr>
          <w:rFonts w:cstheme="minorHAnsi"/>
          <w:lang w:val="en-GB"/>
        </w:rPr>
        <w:t xml:space="preserve">  Using evidence from the</w:t>
      </w:r>
      <w:r>
        <w:rPr>
          <w:rFonts w:cstheme="minorHAnsi"/>
          <w:lang w:val="en-GB"/>
        </w:rPr>
        <w:t xml:space="preserve"> pilot</w:t>
      </w:r>
      <w:r w:rsidR="00161099">
        <w:rPr>
          <w:rFonts w:cstheme="minorHAnsi"/>
          <w:lang w:val="en-GB"/>
        </w:rPr>
        <w:t xml:space="preserve"> evaluation, we discuss the likely impact of this policy change on </w:t>
      </w:r>
      <w:r w:rsidR="00C56095">
        <w:rPr>
          <w:rFonts w:cstheme="minorHAnsi"/>
          <w:lang w:val="en-GB"/>
        </w:rPr>
        <w:t>patient experience</w:t>
      </w:r>
      <w:r w:rsidR="00161099">
        <w:rPr>
          <w:rFonts w:cstheme="minorHAnsi"/>
          <w:lang w:val="en-GB"/>
        </w:rPr>
        <w:t xml:space="preserve">, </w:t>
      </w:r>
      <w:r w:rsidR="008C5AA5">
        <w:rPr>
          <w:rFonts w:cstheme="minorHAnsi"/>
          <w:lang w:val="en-GB"/>
        </w:rPr>
        <w:t>responsiveness and equity of access</w:t>
      </w:r>
      <w:r w:rsidR="005A5E7B">
        <w:rPr>
          <w:rFonts w:cstheme="minorHAnsi"/>
          <w:lang w:val="en-GB"/>
        </w:rPr>
        <w:t>.</w:t>
      </w:r>
      <w:r w:rsidR="008C5AA5">
        <w:rPr>
          <w:rFonts w:cstheme="minorHAnsi"/>
          <w:lang w:val="en-GB"/>
        </w:rPr>
        <w:t xml:space="preserve">  </w:t>
      </w:r>
      <w:r w:rsidR="00BE76CB">
        <w:rPr>
          <w:rFonts w:cstheme="minorHAnsi"/>
          <w:lang w:val="en-GB"/>
        </w:rPr>
        <w:t>P</w:t>
      </w:r>
      <w:r w:rsidR="008C537F">
        <w:rPr>
          <w:rFonts w:cstheme="minorHAnsi"/>
          <w:lang w:val="en-GB"/>
        </w:rPr>
        <w:t>atients reported positive experiences</w:t>
      </w:r>
      <w:r w:rsidR="00BE76CB">
        <w:rPr>
          <w:rFonts w:cstheme="minorHAnsi"/>
          <w:lang w:val="en-GB"/>
        </w:rPr>
        <w:t xml:space="preserve"> but</w:t>
      </w:r>
      <w:r>
        <w:rPr>
          <w:rFonts w:cstheme="minorHAnsi"/>
          <w:lang w:val="en-GB"/>
        </w:rPr>
        <w:t xml:space="preserve"> in a brief</w:t>
      </w:r>
      <w:r w:rsidR="0021572A">
        <w:rPr>
          <w:rFonts w:cstheme="minorHAnsi"/>
          <w:lang w:val="en-GB"/>
        </w:rPr>
        <w:t xml:space="preserve"> pilot in four areas</w:t>
      </w:r>
      <w:r>
        <w:rPr>
          <w:rFonts w:cstheme="minorHAnsi"/>
          <w:lang w:val="en-GB"/>
        </w:rPr>
        <w:t xml:space="preserve">, it was not possible to </w:t>
      </w:r>
      <w:bookmarkStart w:id="0" w:name="_GoBack"/>
      <w:bookmarkEnd w:id="0"/>
      <w:r w:rsidR="00BE76CB" w:rsidRPr="008D04B1">
        <w:rPr>
          <w:rFonts w:cstheme="minorHAnsi"/>
        </w:rPr>
        <w:t>assess</w:t>
      </w:r>
      <w:r w:rsidR="0021572A">
        <w:rPr>
          <w:rFonts w:cstheme="minorHAnsi"/>
        </w:rPr>
        <w:t xml:space="preserve"> potential demand,</w:t>
      </w:r>
      <w:r w:rsidR="00BE76CB" w:rsidRPr="008D04B1">
        <w:rPr>
          <w:rFonts w:cstheme="minorHAnsi"/>
        </w:rPr>
        <w:t xml:space="preserve"> the impact on quality of care </w:t>
      </w:r>
      <w:r w:rsidR="0021572A">
        <w:rPr>
          <w:rFonts w:cstheme="minorHAnsi"/>
        </w:rPr>
        <w:t>or</w:t>
      </w:r>
      <w:r w:rsidR="00BE76CB" w:rsidRPr="008D04B1">
        <w:rPr>
          <w:rFonts w:cstheme="minorHAnsi"/>
        </w:rPr>
        <w:t xml:space="preserve"> health outcomes</w:t>
      </w:r>
      <w:r w:rsidR="008C537F">
        <w:rPr>
          <w:rFonts w:cstheme="minorHAnsi"/>
          <w:lang w:val="en-GB"/>
        </w:rPr>
        <w:t xml:space="preserve">.  </w:t>
      </w:r>
      <w:r w:rsidR="00971054">
        <w:rPr>
          <w:rFonts w:cstheme="minorHAnsi"/>
          <w:lang w:val="en-GB"/>
        </w:rPr>
        <w:t>In the rollout, p</w:t>
      </w:r>
      <w:r w:rsidR="0078380D">
        <w:rPr>
          <w:rFonts w:cstheme="minorHAnsi"/>
          <w:lang w:val="en-GB"/>
        </w:rPr>
        <w:t>o</w:t>
      </w:r>
      <w:r w:rsidR="00332711">
        <w:rPr>
          <w:rFonts w:cstheme="minorHAnsi"/>
          <w:lang w:val="en-GB"/>
        </w:rPr>
        <w:t xml:space="preserve">licymakers and commissioners </w:t>
      </w:r>
      <w:r w:rsidR="0078380D">
        <w:rPr>
          <w:rFonts w:cstheme="minorHAnsi"/>
          <w:lang w:val="en-GB"/>
        </w:rPr>
        <w:t xml:space="preserve">will </w:t>
      </w:r>
      <w:r w:rsidR="00BF204F">
        <w:rPr>
          <w:rFonts w:cstheme="minorHAnsi"/>
          <w:lang w:val="en-GB"/>
        </w:rPr>
        <w:t>need to</w:t>
      </w:r>
      <w:r w:rsidR="00332711">
        <w:rPr>
          <w:rFonts w:cstheme="minorHAnsi"/>
          <w:lang w:val="en-GB"/>
        </w:rPr>
        <w:t xml:space="preserve"> </w:t>
      </w:r>
      <w:r w:rsidR="00593EFC">
        <w:rPr>
          <w:rFonts w:cstheme="minorHAnsi"/>
        </w:rPr>
        <w:t>balanc</w:t>
      </w:r>
      <w:r w:rsidR="00BF204F">
        <w:rPr>
          <w:rFonts w:cstheme="minorHAnsi"/>
        </w:rPr>
        <w:t>e</w:t>
      </w:r>
      <w:r w:rsidR="00593EFC" w:rsidRPr="008D04B1">
        <w:rPr>
          <w:rFonts w:cstheme="minorHAnsi"/>
        </w:rPr>
        <w:t xml:space="preserve"> the access needs of local resident</w:t>
      </w:r>
      <w:r w:rsidR="00332711">
        <w:rPr>
          <w:rFonts w:cstheme="minorHAnsi"/>
        </w:rPr>
        <w:t xml:space="preserve">s against the demands of those </w:t>
      </w:r>
      <w:r w:rsidR="00F642A6">
        <w:rPr>
          <w:rFonts w:cstheme="minorHAnsi"/>
        </w:rPr>
        <w:t>com</w:t>
      </w:r>
      <w:r w:rsidR="00FF7DA3">
        <w:rPr>
          <w:rFonts w:cstheme="minorHAnsi"/>
        </w:rPr>
        <w:t>ing</w:t>
      </w:r>
      <w:r w:rsidR="00BB0F0A">
        <w:rPr>
          <w:rFonts w:cstheme="minorHAnsi"/>
        </w:rPr>
        <w:t xml:space="preserve"> </w:t>
      </w:r>
      <w:r w:rsidR="00BE76CB">
        <w:rPr>
          <w:rFonts w:cstheme="minorHAnsi"/>
        </w:rPr>
        <w:t>in</w:t>
      </w:r>
      <w:r w:rsidR="00F642A6">
        <w:rPr>
          <w:rFonts w:cstheme="minorHAnsi"/>
        </w:rPr>
        <w:t>to</w:t>
      </w:r>
      <w:r w:rsidR="00BB0F0A">
        <w:rPr>
          <w:rFonts w:cstheme="minorHAnsi"/>
        </w:rPr>
        <w:t xml:space="preserve"> the </w:t>
      </w:r>
      <w:r w:rsidR="00F642A6">
        <w:rPr>
          <w:rFonts w:cstheme="minorHAnsi"/>
        </w:rPr>
        <w:t>a</w:t>
      </w:r>
      <w:r w:rsidR="00BB0F0A">
        <w:rPr>
          <w:rFonts w:cstheme="minorHAnsi"/>
        </w:rPr>
        <w:t>rea</w:t>
      </w:r>
      <w:r w:rsidR="0078380D">
        <w:rPr>
          <w:rFonts w:cstheme="minorHAnsi"/>
        </w:rPr>
        <w:t xml:space="preserve">.  </w:t>
      </w:r>
      <w:r w:rsidR="00E55DD9">
        <w:rPr>
          <w:rFonts w:cstheme="minorHAnsi"/>
        </w:rPr>
        <w:t xml:space="preserve">The </w:t>
      </w:r>
      <w:r w:rsidR="00F642A6">
        <w:rPr>
          <w:rFonts w:cstheme="minorHAnsi"/>
        </w:rPr>
        <w:t>rollout</w:t>
      </w:r>
      <w:r w:rsidR="00E55DD9">
        <w:rPr>
          <w:rFonts w:cstheme="minorHAnsi"/>
        </w:rPr>
        <w:t xml:space="preserve"> should</w:t>
      </w:r>
      <w:r w:rsidR="00971054">
        <w:rPr>
          <w:rFonts w:cstheme="minorHAnsi"/>
        </w:rPr>
        <w:t xml:space="preserve"> includ</w:t>
      </w:r>
      <w:r w:rsidR="00735BA4">
        <w:rPr>
          <w:rFonts w:cstheme="minorHAnsi"/>
        </w:rPr>
        <w:t>e</w:t>
      </w:r>
      <w:r w:rsidR="00D2707A">
        <w:rPr>
          <w:rFonts w:cstheme="minorHAnsi"/>
        </w:rPr>
        <w:t xml:space="preserve"> full information </w:t>
      </w:r>
      <w:r w:rsidR="008D05A8">
        <w:rPr>
          <w:rFonts w:cstheme="minorHAnsi"/>
        </w:rPr>
        <w:t>for</w:t>
      </w:r>
      <w:r w:rsidR="00D2707A">
        <w:rPr>
          <w:rFonts w:cstheme="minorHAnsi"/>
        </w:rPr>
        <w:t xml:space="preserve"> prospective patients</w:t>
      </w:r>
      <w:r w:rsidR="0021572A">
        <w:rPr>
          <w:rFonts w:cstheme="minorHAnsi"/>
        </w:rPr>
        <w:t>;</w:t>
      </w:r>
      <w:r w:rsidR="00E55DD9">
        <w:rPr>
          <w:rFonts w:cstheme="minorHAnsi"/>
        </w:rPr>
        <w:t xml:space="preserve"> </w:t>
      </w:r>
      <w:r w:rsidR="00C56095">
        <w:t>monitoring and understanding patterns of</w:t>
      </w:r>
      <w:r w:rsidR="0021572A">
        <w:t xml:space="preserve"> patient</w:t>
      </w:r>
      <w:r w:rsidR="00C56095">
        <w:t xml:space="preserve"> movement</w:t>
      </w:r>
      <w:r w:rsidR="0021572A">
        <w:t xml:space="preserve"> between practices</w:t>
      </w:r>
      <w:r w:rsidR="00C56095">
        <w:t xml:space="preserve"> and impact on practice capacity</w:t>
      </w:r>
      <w:r w:rsidR="0021572A">
        <w:t>;</w:t>
      </w:r>
      <w:r w:rsidR="0078380D">
        <w:rPr>
          <w:rFonts w:cstheme="minorHAnsi"/>
          <w:lang w:val="en-GB"/>
        </w:rPr>
        <w:t xml:space="preserve"> and en</w:t>
      </w:r>
      <w:r w:rsidR="005A5E7B">
        <w:rPr>
          <w:rFonts w:cstheme="minorHAnsi"/>
          <w:lang w:val="en-GB"/>
        </w:rPr>
        <w:t>sur</w:t>
      </w:r>
      <w:r w:rsidR="00161099">
        <w:rPr>
          <w:rFonts w:cstheme="minorHAnsi"/>
          <w:lang w:val="en-GB"/>
        </w:rPr>
        <w:t>ing</w:t>
      </w:r>
      <w:r w:rsidR="00F642A6">
        <w:rPr>
          <w:rFonts w:cstheme="minorHAnsi"/>
          <w:lang w:val="en-GB"/>
        </w:rPr>
        <w:t xml:space="preserve"> the</w:t>
      </w:r>
      <w:r w:rsidR="0078380D">
        <w:rPr>
          <w:rFonts w:cstheme="minorHAnsi"/>
          <w:lang w:val="en-GB"/>
        </w:rPr>
        <w:t xml:space="preserve"> timely transfer of</w:t>
      </w:r>
      <w:r w:rsidR="00D2707A">
        <w:rPr>
          <w:rFonts w:cstheme="minorHAnsi"/>
          <w:lang w:val="en-GB"/>
        </w:rPr>
        <w:t xml:space="preserve"> clinical information between providers</w:t>
      </w:r>
      <w:r w:rsidR="00E55DD9">
        <w:rPr>
          <w:rFonts w:cstheme="minorHAnsi"/>
          <w:lang w:val="en-GB"/>
        </w:rPr>
        <w:t>. This</w:t>
      </w:r>
      <w:r w:rsidR="0078380D">
        <w:rPr>
          <w:rFonts w:cstheme="minorHAnsi"/>
          <w:lang w:val="en-GB"/>
        </w:rPr>
        <w:t xml:space="preserve"> policy</w:t>
      </w:r>
      <w:r w:rsidR="00593EFC" w:rsidRPr="008D04B1">
        <w:rPr>
          <w:rFonts w:cstheme="minorHAnsi"/>
        </w:rPr>
        <w:t xml:space="preserve"> has the potential to improve choice and convenience for a sub-group of the population at lower marginal costs than new provision</w:t>
      </w:r>
      <w:r w:rsidR="00332711">
        <w:rPr>
          <w:rFonts w:cstheme="minorHAnsi"/>
        </w:rPr>
        <w:t xml:space="preserve">. </w:t>
      </w:r>
      <w:r w:rsidR="00971054">
        <w:rPr>
          <w:rFonts w:cstheme="minorHAnsi"/>
        </w:rPr>
        <w:t>However, t</w:t>
      </w:r>
      <w:r w:rsidR="005A5E7B">
        <w:rPr>
          <w:rFonts w:cstheme="minorHAnsi"/>
          <w:lang w:val="en-GB"/>
        </w:rPr>
        <w:t>here</w:t>
      </w:r>
      <w:r w:rsidR="005A5E7B" w:rsidRPr="008D04B1">
        <w:rPr>
          <w:rFonts w:cstheme="minorHAnsi"/>
        </w:rPr>
        <w:t xml:space="preserve"> </w:t>
      </w:r>
      <w:r w:rsidR="00977EAC">
        <w:rPr>
          <w:rFonts w:cstheme="minorHAnsi"/>
        </w:rPr>
        <w:t xml:space="preserve">are </w:t>
      </w:r>
      <w:r w:rsidR="005A5E7B" w:rsidRPr="008D04B1">
        <w:rPr>
          <w:rFonts w:cstheme="minorHAnsi"/>
        </w:rPr>
        <w:t>simpler, less costly, w</w:t>
      </w:r>
      <w:r w:rsidR="005A5E7B">
        <w:rPr>
          <w:rFonts w:cstheme="minorHAnsi"/>
        </w:rPr>
        <w:t>ays of improving convenience</w:t>
      </w:r>
      <w:r w:rsidR="005A5E7B" w:rsidRPr="008D04B1">
        <w:rPr>
          <w:rFonts w:cstheme="minorHAnsi"/>
        </w:rPr>
        <w:t xml:space="preserve">, such as extending opening hours </w:t>
      </w:r>
      <w:r w:rsidR="005A5E7B">
        <w:rPr>
          <w:rFonts w:cstheme="minorHAnsi"/>
        </w:rPr>
        <w:t>or</w:t>
      </w:r>
      <w:r w:rsidR="005A5E7B" w:rsidRPr="008D04B1">
        <w:rPr>
          <w:rFonts w:cstheme="minorHAnsi"/>
        </w:rPr>
        <w:t xml:space="preserve"> offering alternatives to face-to-face consultation.</w:t>
      </w:r>
    </w:p>
    <w:p w14:paraId="1C87BFB3" w14:textId="77777777" w:rsidR="00593EFC" w:rsidRPr="00DA5E4D" w:rsidRDefault="00593EFC" w:rsidP="001D7110">
      <w:pPr>
        <w:rPr>
          <w:rFonts w:cstheme="minorHAnsi"/>
          <w:lang w:val="en-GB"/>
        </w:rPr>
      </w:pPr>
    </w:p>
    <w:p w14:paraId="1ED1FBA3" w14:textId="77777777" w:rsidR="004115EE" w:rsidRPr="004115EE" w:rsidRDefault="004F6B09" w:rsidP="001D7110">
      <w:pPr>
        <w:rPr>
          <w:rFonts w:cstheme="minorHAnsi"/>
        </w:rPr>
      </w:pPr>
      <w:r>
        <w:rPr>
          <w:rFonts w:cstheme="minorHAnsi"/>
        </w:rPr>
        <w:t xml:space="preserve">Keywords: patient choice, practice boundaries, general practice, NHS </w:t>
      </w:r>
    </w:p>
    <w:p w14:paraId="78AF6C3C" w14:textId="77777777" w:rsidR="00020F6B" w:rsidRDefault="00020F6B">
      <w:pPr>
        <w:spacing w:after="200" w:line="276" w:lineRule="auto"/>
        <w:rPr>
          <w:rFonts w:cstheme="minorHAnsi"/>
          <w:i/>
          <w:lang w:val="en-GB"/>
        </w:rPr>
      </w:pPr>
      <w:r>
        <w:rPr>
          <w:rFonts w:cstheme="minorHAnsi"/>
          <w:i/>
          <w:lang w:val="en-GB"/>
        </w:rPr>
        <w:br w:type="page"/>
      </w:r>
    </w:p>
    <w:p w14:paraId="7CD839B2" w14:textId="77777777" w:rsidR="005E4EBB" w:rsidRDefault="00B5127B" w:rsidP="00DA5E4D">
      <w:pPr>
        <w:pStyle w:val="ListParagraph"/>
        <w:numPr>
          <w:ilvl w:val="0"/>
          <w:numId w:val="13"/>
        </w:numPr>
        <w:spacing w:line="360" w:lineRule="auto"/>
        <w:rPr>
          <w:rFonts w:cstheme="minorHAnsi"/>
          <w:lang w:val="en-GB"/>
        </w:rPr>
      </w:pPr>
      <w:r w:rsidRPr="005E4EBB">
        <w:rPr>
          <w:b/>
          <w:lang w:val="en-GB"/>
        </w:rPr>
        <w:lastRenderedPageBreak/>
        <w:t>Introduction</w:t>
      </w:r>
    </w:p>
    <w:p w14:paraId="0B554F43" w14:textId="49D5C375" w:rsidR="00D5448D" w:rsidRDefault="009E0BD7">
      <w:pPr>
        <w:spacing w:line="360" w:lineRule="auto"/>
        <w:rPr>
          <w:rFonts w:cstheme="minorHAnsi"/>
          <w:lang w:val="en-GB"/>
        </w:rPr>
      </w:pPr>
      <w:r>
        <w:rPr>
          <w:rFonts w:cstheme="minorHAnsi"/>
          <w:lang w:val="en-GB"/>
        </w:rPr>
        <w:t>From early</w:t>
      </w:r>
      <w:r w:rsidR="003B1362">
        <w:rPr>
          <w:rFonts w:cstheme="minorHAnsi"/>
          <w:lang w:val="en-GB"/>
        </w:rPr>
        <w:t xml:space="preserve"> 2015</w:t>
      </w:r>
      <w:r w:rsidR="009923DD" w:rsidRPr="005E4EBB">
        <w:rPr>
          <w:rFonts w:cstheme="minorHAnsi"/>
          <w:lang w:val="en-GB"/>
        </w:rPr>
        <w:t xml:space="preserve">, </w:t>
      </w:r>
      <w:r w:rsidR="00927978" w:rsidRPr="005E4EBB">
        <w:rPr>
          <w:rFonts w:cstheme="minorHAnsi"/>
          <w:lang w:val="en-GB"/>
        </w:rPr>
        <w:t xml:space="preserve">all </w:t>
      </w:r>
      <w:r w:rsidR="006015CF" w:rsidRPr="005E4EBB">
        <w:rPr>
          <w:rFonts w:cstheme="minorHAnsi"/>
          <w:lang w:val="en-GB"/>
        </w:rPr>
        <w:t>general</w:t>
      </w:r>
      <w:r w:rsidR="00927978" w:rsidRPr="005E4EBB">
        <w:rPr>
          <w:rFonts w:cstheme="minorHAnsi"/>
          <w:lang w:val="en-GB"/>
        </w:rPr>
        <w:t xml:space="preserve"> </w:t>
      </w:r>
      <w:r w:rsidR="009923DD" w:rsidRPr="005E4EBB">
        <w:rPr>
          <w:rFonts w:cstheme="minorHAnsi"/>
          <w:lang w:val="en-GB"/>
        </w:rPr>
        <w:t xml:space="preserve">practices in England will </w:t>
      </w:r>
      <w:r w:rsidR="007E4ED8" w:rsidRPr="005E4EBB">
        <w:rPr>
          <w:rFonts w:cstheme="minorHAnsi"/>
          <w:lang w:val="en-GB"/>
        </w:rPr>
        <w:t xml:space="preserve">have the option to </w:t>
      </w:r>
      <w:r w:rsidR="009923DD" w:rsidRPr="005E4EBB">
        <w:rPr>
          <w:rFonts w:cstheme="minorHAnsi"/>
          <w:lang w:val="en-GB"/>
        </w:rPr>
        <w:t xml:space="preserve">register patients from outside </w:t>
      </w:r>
      <w:r w:rsidR="00927978" w:rsidRPr="005E4EBB">
        <w:rPr>
          <w:rFonts w:cstheme="minorHAnsi"/>
          <w:lang w:val="en-GB"/>
        </w:rPr>
        <w:t>their practice boundar</w:t>
      </w:r>
      <w:r w:rsidR="006015CF" w:rsidRPr="005E4EBB">
        <w:rPr>
          <w:rFonts w:cstheme="minorHAnsi"/>
          <w:lang w:val="en-GB"/>
        </w:rPr>
        <w:t>ies</w:t>
      </w:r>
      <w:r w:rsidR="008B27C5" w:rsidRPr="005E4EBB">
        <w:rPr>
          <w:rFonts w:cstheme="minorHAnsi"/>
          <w:lang w:val="en-GB"/>
        </w:rPr>
        <w:t xml:space="preserve"> </w:t>
      </w:r>
      <w:r w:rsidR="00EF6E4D" w:rsidRPr="00F300E0">
        <w:rPr>
          <w:rFonts w:cstheme="minorHAnsi"/>
          <w:lang w:val="en-GB"/>
        </w:rPr>
        <w:fldChar w:fldCharType="begin"/>
      </w:r>
      <w:r w:rsidR="00A4727D">
        <w:rPr>
          <w:rFonts w:cstheme="minorHAnsi"/>
          <w:lang w:val="en-GB"/>
        </w:rPr>
        <w:instrText xml:space="preserve"> ADDIN EN.CITE &lt;EndNote&gt;&lt;Cite&gt;&lt;Author&gt;Employers&lt;/Author&gt;&lt;Year&gt;2013&lt;/Year&gt;&lt;RecNum&gt;65&lt;/RecNum&gt;&lt;DisplayText&gt;(1, 2)&lt;/DisplayText&gt;&lt;record&gt;&lt;rec-number&gt;65&lt;/rec-number&gt;&lt;foreign-keys&gt;&lt;key app="EN" db-id="ptdswpda0va5vqe5pzg5w50lf0txassaw0zx"&gt;65&lt;/key&gt;&lt;/foreign-keys&gt;&lt;ref-type name="Web Page"&gt;12&lt;/ref-type&gt;&lt;contributors&gt;&lt;authors&gt;&lt;author&gt;NHS Employers,&lt;/author&gt;&lt;/authors&gt;&lt;/contributors&gt;&lt;titles&gt;&lt;title&gt;Summary of 2014/15 GMS Contract negotiations&lt;/title&gt;&lt;/titles&gt;&lt;dates&gt;&lt;year&gt;2013&lt;/year&gt;&lt;pub-dates&gt;&lt;date&gt;14 November 2013&lt;/date&gt;&lt;/pub-dates&gt;&lt;/dates&gt;&lt;pub-location&gt;London&lt;/pub-location&gt;&lt;publisher&gt;NHS Employers&lt;/publisher&gt;&lt;urls&gt;&lt;related-urls&gt;&lt;url&gt;http://www.nhsemployers.org/PayAndContracts/GeneralMedicalServicesContract/GMSContractChanges/Pages/Contractchanges201415.aspx#8&lt;/url&gt;&lt;/related-urls&gt;&lt;/urls&gt;&lt;/record&gt;&lt;/Cite&gt;&lt;Cite&gt;&lt;Author&gt;Bostock&lt;/Author&gt;&lt;Year&gt;2014&lt;/Year&gt;&lt;RecNum&gt;88&lt;/RecNum&gt;&lt;record&gt;&lt;rec-number&gt;88&lt;/rec-number&gt;&lt;foreign-keys&gt;&lt;key app="EN" db-id="ptdswpda0va5vqe5pzg5w50lf0txassaw0zx"&gt;88&lt;/key&gt;&lt;/foreign-keys&gt;&lt;ref-type name="Newspaper Article"&gt;23&lt;/ref-type&gt;&lt;contributors&gt;&lt;authors&gt;&lt;author&gt;Bostock, Nick&lt;/author&gt;&lt;/authors&gt;&lt;/contributors&gt;&lt;titles&gt;&lt;title&gt;Practice boundary reforms delayed until January, NHS England reveals&lt;/title&gt;&lt;secondary-title&gt;GP Online&lt;/secondary-title&gt;&lt;/titles&gt;&lt;dates&gt;&lt;year&gt;2014&lt;/year&gt;&lt;/dates&gt;&lt;urls&gt;&lt;related-urls&gt;&lt;url&gt;http://www.gponline.com/practice-boundary-reforms-delayed-until-january-nhs-england-reveals/article/1313064?DCMP=EMC-CONDailynewsalert&amp;amp;bulletin=bulletins%2Fdailynews&lt;/url&gt;&lt;/related-urls&gt;&lt;/urls&gt;&lt;/record&gt;&lt;/Cite&gt;&lt;/EndNote&gt;</w:instrText>
      </w:r>
      <w:r w:rsidR="00EF6E4D" w:rsidRPr="00F300E0">
        <w:rPr>
          <w:rFonts w:cstheme="minorHAnsi"/>
          <w:lang w:val="en-GB"/>
        </w:rPr>
        <w:fldChar w:fldCharType="separate"/>
      </w:r>
      <w:r w:rsidR="004D7C31">
        <w:rPr>
          <w:rFonts w:cstheme="minorHAnsi"/>
          <w:noProof/>
          <w:lang w:val="en-GB"/>
        </w:rPr>
        <w:t>(1-2)</w:t>
      </w:r>
      <w:r w:rsidR="00EF6E4D" w:rsidRPr="00F300E0">
        <w:rPr>
          <w:rFonts w:cstheme="minorHAnsi"/>
          <w:lang w:val="en-GB"/>
        </w:rPr>
        <w:fldChar w:fldCharType="end"/>
      </w:r>
      <w:r w:rsidR="00927978" w:rsidRPr="005E4EBB">
        <w:rPr>
          <w:rFonts w:cstheme="minorHAnsi"/>
          <w:lang w:val="en-GB"/>
        </w:rPr>
        <w:t>.</w:t>
      </w:r>
      <w:r w:rsidR="002F4D86" w:rsidRPr="005E4EBB">
        <w:rPr>
          <w:rFonts w:cstheme="minorHAnsi"/>
          <w:lang w:val="en-GB"/>
        </w:rPr>
        <w:t xml:space="preserve"> </w:t>
      </w:r>
      <w:r w:rsidR="009804C9" w:rsidRPr="005E4EBB">
        <w:rPr>
          <w:rFonts w:cstheme="minorHAnsi"/>
          <w:lang w:val="en-GB"/>
        </w:rPr>
        <w:t>Participating practices will</w:t>
      </w:r>
      <w:r w:rsidR="00D950CC" w:rsidRPr="005E4EBB">
        <w:rPr>
          <w:rFonts w:cstheme="minorHAnsi"/>
          <w:lang w:val="en-GB"/>
        </w:rPr>
        <w:t xml:space="preserve"> not</w:t>
      </w:r>
      <w:r w:rsidR="006015CF" w:rsidRPr="005E4EBB">
        <w:rPr>
          <w:rFonts w:cstheme="minorHAnsi"/>
          <w:lang w:val="en-GB"/>
        </w:rPr>
        <w:t xml:space="preserve"> </w:t>
      </w:r>
      <w:r w:rsidR="007E4ED8" w:rsidRPr="005E4EBB">
        <w:rPr>
          <w:rFonts w:cstheme="minorHAnsi"/>
          <w:lang w:val="en-GB"/>
        </w:rPr>
        <w:t xml:space="preserve">be required </w:t>
      </w:r>
      <w:r w:rsidR="00D950CC" w:rsidRPr="005E4EBB">
        <w:rPr>
          <w:rFonts w:cstheme="minorHAnsi"/>
          <w:lang w:val="en-GB"/>
        </w:rPr>
        <w:t xml:space="preserve">to </w:t>
      </w:r>
      <w:r w:rsidR="006F57E4" w:rsidRPr="005E4EBB">
        <w:rPr>
          <w:rFonts w:cstheme="minorHAnsi"/>
          <w:lang w:val="en-GB"/>
        </w:rPr>
        <w:t>provide home visit</w:t>
      </w:r>
      <w:r w:rsidR="007E4ED8" w:rsidRPr="005E4EBB">
        <w:rPr>
          <w:rFonts w:cstheme="minorHAnsi"/>
          <w:lang w:val="en-GB"/>
        </w:rPr>
        <w:t>s</w:t>
      </w:r>
      <w:r w:rsidR="002F0445" w:rsidRPr="005E4EBB">
        <w:rPr>
          <w:rFonts w:cstheme="minorHAnsi"/>
          <w:lang w:val="en-GB"/>
        </w:rPr>
        <w:t xml:space="preserve"> to</w:t>
      </w:r>
      <w:r w:rsidR="006015CF" w:rsidRPr="005E4EBB">
        <w:rPr>
          <w:rFonts w:cstheme="minorHAnsi"/>
          <w:lang w:val="en-GB"/>
        </w:rPr>
        <w:t xml:space="preserve"> these</w:t>
      </w:r>
      <w:r w:rsidR="002F0445" w:rsidRPr="005E4EBB">
        <w:rPr>
          <w:rFonts w:cstheme="minorHAnsi"/>
          <w:lang w:val="en-GB"/>
        </w:rPr>
        <w:t xml:space="preserve"> patients</w:t>
      </w:r>
      <w:r w:rsidR="007E4ED8" w:rsidRPr="005E4EBB">
        <w:rPr>
          <w:rFonts w:cstheme="minorHAnsi"/>
          <w:lang w:val="en-GB"/>
        </w:rPr>
        <w:t>,</w:t>
      </w:r>
      <w:r w:rsidR="006015CF" w:rsidRPr="005E4EBB">
        <w:rPr>
          <w:rFonts w:cstheme="minorHAnsi"/>
          <w:lang w:val="en-GB"/>
        </w:rPr>
        <w:t xml:space="preserve"> who will use</w:t>
      </w:r>
      <w:r w:rsidR="00686DEA">
        <w:rPr>
          <w:rFonts w:cstheme="minorHAnsi"/>
          <w:lang w:val="en-GB"/>
        </w:rPr>
        <w:t xml:space="preserve"> the local</w:t>
      </w:r>
      <w:r w:rsidR="006015CF" w:rsidRPr="005E4EBB">
        <w:rPr>
          <w:rFonts w:cstheme="minorHAnsi"/>
          <w:lang w:val="en-GB"/>
        </w:rPr>
        <w:t xml:space="preserve"> out-of-hours</w:t>
      </w:r>
      <w:r w:rsidR="00686DEA">
        <w:rPr>
          <w:rFonts w:cstheme="minorHAnsi"/>
          <w:lang w:val="en-GB"/>
        </w:rPr>
        <w:t xml:space="preserve"> service where they live</w:t>
      </w:r>
      <w:r w:rsidR="00DB3727" w:rsidRPr="005E4EBB">
        <w:rPr>
          <w:rFonts w:cstheme="minorHAnsi"/>
          <w:lang w:val="en-GB"/>
        </w:rPr>
        <w:t>.</w:t>
      </w:r>
      <w:r w:rsidR="002F0445" w:rsidRPr="005E4EBB">
        <w:rPr>
          <w:rFonts w:cstheme="minorHAnsi"/>
          <w:lang w:val="en-GB"/>
        </w:rPr>
        <w:t xml:space="preserve"> </w:t>
      </w:r>
      <w:r w:rsidR="006F57E4" w:rsidRPr="005E4EBB">
        <w:rPr>
          <w:rFonts w:cstheme="minorHAnsi"/>
          <w:lang w:val="en-GB"/>
        </w:rPr>
        <w:t>NHS England</w:t>
      </w:r>
      <w:r w:rsidR="0021572A">
        <w:rPr>
          <w:rFonts w:cstheme="minorHAnsi"/>
          <w:lang w:val="en-GB"/>
        </w:rPr>
        <w:t xml:space="preserve"> (the national commissioning body responsible for</w:t>
      </w:r>
      <w:r w:rsidR="00686DEA">
        <w:rPr>
          <w:rFonts w:cstheme="minorHAnsi"/>
          <w:lang w:val="en-GB"/>
        </w:rPr>
        <w:t xml:space="preserve"> contracting NHS general practice services)</w:t>
      </w:r>
      <w:r w:rsidR="002F0445" w:rsidRPr="005E4EBB">
        <w:rPr>
          <w:rFonts w:cstheme="minorHAnsi"/>
          <w:lang w:val="en-GB"/>
        </w:rPr>
        <w:t xml:space="preserve"> will be</w:t>
      </w:r>
      <w:r w:rsidR="006F57E4" w:rsidRPr="005E4EBB">
        <w:rPr>
          <w:rFonts w:cstheme="minorHAnsi"/>
          <w:lang w:val="en-GB"/>
        </w:rPr>
        <w:t xml:space="preserve"> respons</w:t>
      </w:r>
      <w:r w:rsidR="001C22C3" w:rsidRPr="005E4EBB">
        <w:rPr>
          <w:rFonts w:cstheme="minorHAnsi"/>
          <w:lang w:val="en-GB"/>
        </w:rPr>
        <w:t>ible for arranging</w:t>
      </w:r>
      <w:r w:rsidR="00686DEA">
        <w:rPr>
          <w:rFonts w:cstheme="minorHAnsi"/>
          <w:lang w:val="en-GB"/>
        </w:rPr>
        <w:t xml:space="preserve"> this and</w:t>
      </w:r>
      <w:r w:rsidR="006015CF" w:rsidRPr="005E4EBB">
        <w:rPr>
          <w:rFonts w:cstheme="minorHAnsi"/>
          <w:lang w:val="en-GB"/>
        </w:rPr>
        <w:t xml:space="preserve"> any</w:t>
      </w:r>
      <w:r w:rsidR="001C22C3" w:rsidRPr="005E4EBB">
        <w:rPr>
          <w:rFonts w:cstheme="minorHAnsi"/>
          <w:lang w:val="en-GB"/>
        </w:rPr>
        <w:t xml:space="preserve"> in-hours</w:t>
      </w:r>
      <w:r w:rsidR="006F57E4" w:rsidRPr="005E4EBB">
        <w:rPr>
          <w:rFonts w:cstheme="minorHAnsi"/>
          <w:lang w:val="en-GB"/>
        </w:rPr>
        <w:t xml:space="preserve"> urgent me</w:t>
      </w:r>
      <w:r w:rsidR="00A424C6" w:rsidRPr="005E4EBB">
        <w:rPr>
          <w:rFonts w:cstheme="minorHAnsi"/>
          <w:lang w:val="en-GB"/>
        </w:rPr>
        <w:t>dical care</w:t>
      </w:r>
      <w:r w:rsidR="00217434" w:rsidRPr="005E4EBB">
        <w:rPr>
          <w:rFonts w:cstheme="minorHAnsi"/>
          <w:lang w:val="en-GB"/>
        </w:rPr>
        <w:t xml:space="preserve"> where</w:t>
      </w:r>
      <w:r w:rsidR="006015CF" w:rsidRPr="005E4EBB">
        <w:rPr>
          <w:rFonts w:cstheme="minorHAnsi"/>
          <w:lang w:val="en-GB"/>
        </w:rPr>
        <w:t xml:space="preserve"> such</w:t>
      </w:r>
      <w:r w:rsidR="00D950CC" w:rsidRPr="005E4EBB">
        <w:rPr>
          <w:rFonts w:cstheme="minorHAnsi"/>
          <w:lang w:val="en-GB"/>
        </w:rPr>
        <w:t xml:space="preserve"> patients </w:t>
      </w:r>
      <w:r w:rsidR="00A424C6" w:rsidRPr="005E4EBB">
        <w:rPr>
          <w:rFonts w:cstheme="minorHAnsi"/>
          <w:lang w:val="en-GB"/>
        </w:rPr>
        <w:t>live.</w:t>
      </w:r>
      <w:r w:rsidR="002F4D86" w:rsidRPr="005E4EBB">
        <w:rPr>
          <w:rFonts w:cstheme="minorHAnsi"/>
          <w:lang w:val="en-GB"/>
        </w:rPr>
        <w:t xml:space="preserve"> </w:t>
      </w:r>
      <w:r w:rsidR="00D5448D">
        <w:rPr>
          <w:rFonts w:cstheme="minorHAnsi"/>
          <w:lang w:val="en-GB"/>
        </w:rPr>
        <w:t xml:space="preserve"> The policy change</w:t>
      </w:r>
      <w:r w:rsidR="00D5448D" w:rsidRPr="008D04B1">
        <w:rPr>
          <w:rFonts w:cstheme="minorHAnsi"/>
          <w:lang w:val="en-GB"/>
        </w:rPr>
        <w:t xml:space="preserve"> will allow a patient to register with a practice near his/her workplace or to stay with the same practice despite moving house</w:t>
      </w:r>
      <w:r w:rsidR="00686DEA">
        <w:rPr>
          <w:rFonts w:cstheme="minorHAnsi"/>
          <w:lang w:val="en-GB"/>
        </w:rPr>
        <w:t xml:space="preserve"> beyond a practice boundary</w:t>
      </w:r>
      <w:r w:rsidR="00D5448D" w:rsidRPr="008D04B1">
        <w:rPr>
          <w:rFonts w:cstheme="minorHAnsi"/>
          <w:lang w:val="en-GB"/>
        </w:rPr>
        <w:t xml:space="preserve">. Greater patient choice of practice is expected to produce higher quality care, improved patient experience and, ultimately, better outcomes, </w:t>
      </w:r>
      <w:r w:rsidR="00686DEA">
        <w:rPr>
          <w:rFonts w:cstheme="minorHAnsi"/>
          <w:lang w:val="en-GB"/>
        </w:rPr>
        <w:t>with</w:t>
      </w:r>
      <w:r w:rsidR="00D5448D" w:rsidRPr="008D04B1">
        <w:rPr>
          <w:rFonts w:cstheme="minorHAnsi"/>
          <w:lang w:val="en-GB"/>
        </w:rPr>
        <w:t xml:space="preserve"> practices compet</w:t>
      </w:r>
      <w:r w:rsidR="00686DEA">
        <w:rPr>
          <w:rFonts w:cstheme="minorHAnsi"/>
          <w:lang w:val="en-GB"/>
        </w:rPr>
        <w:t>ing</w:t>
      </w:r>
      <w:r w:rsidR="00D5448D" w:rsidRPr="008D04B1">
        <w:rPr>
          <w:rFonts w:cstheme="minorHAnsi"/>
          <w:lang w:val="en-GB"/>
        </w:rPr>
        <w:t xml:space="preserve"> to attract and retain patients.  Critics point to potential adverse consequences such as fragmentation of care and inequity if more mobile patients are given priority.  Unfortunately, there is very little evidence either from the NHS or other systems on the costs and benefits of widening patient choice of general practice, and specifically</w:t>
      </w:r>
      <w:r w:rsidR="00686DEA">
        <w:rPr>
          <w:rFonts w:cstheme="minorHAnsi"/>
          <w:lang w:val="en-GB"/>
        </w:rPr>
        <w:t xml:space="preserve"> on</w:t>
      </w:r>
      <w:r w:rsidR="00D5448D" w:rsidRPr="008D04B1">
        <w:rPr>
          <w:rFonts w:cstheme="minorHAnsi"/>
          <w:lang w:val="en-GB"/>
        </w:rPr>
        <w:t xml:space="preserve"> the effects of removing geographic boundaries</w:t>
      </w:r>
      <w:r w:rsidR="00D5448D">
        <w:rPr>
          <w:rFonts w:cstheme="minorHAnsi"/>
          <w:lang w:val="en-GB"/>
        </w:rPr>
        <w:t xml:space="preserve"> (see</w:t>
      </w:r>
      <w:r w:rsidR="00D5448D" w:rsidRPr="008D04B1">
        <w:rPr>
          <w:rFonts w:cstheme="minorHAnsi"/>
          <w:lang w:val="en-GB"/>
        </w:rPr>
        <w:t xml:space="preserve"> </w:t>
      </w:r>
      <w:r w:rsidR="00EF6E4D" w:rsidRPr="008D04B1">
        <w:rPr>
          <w:rFonts w:cstheme="minorHAnsi"/>
          <w:lang w:val="en-GB"/>
        </w:rPr>
        <w:fldChar w:fldCharType="begin"/>
      </w:r>
      <w:r w:rsidR="00D5448D">
        <w:rPr>
          <w:rFonts w:cstheme="minorHAnsi"/>
          <w:lang w:val="en-GB"/>
        </w:rPr>
        <w:instrText xml:space="preserve"> ADDIN EN.CITE &lt;EndNote&gt;&lt;Cite&gt;&lt;Author&gt;Miani&lt;/Author&gt;&lt;Year&gt;2013&lt;/Year&gt;&lt;RecNum&gt;71&lt;/RecNum&gt;&lt;DisplayText&gt;(5)&lt;/DisplayText&gt;&lt;record&gt;&lt;rec-number&gt;71&lt;/rec-number&gt;&lt;foreign-keys&gt;&lt;key app="EN" db-id="ptdswpda0va5vqe5pzg5w50lf0txassaw0zx"&gt;71&lt;/key&gt;&lt;/foreign-keys&gt;&lt;ref-type name="Journal Article"&gt;17&lt;/ref-type&gt;&lt;contributors&gt;&lt;authors&gt;&lt;author&gt;Miani, Céline&lt;/author&gt;&lt;author&gt;Pitchforth, Emma&lt;/author&gt;&lt;author&gt;Nolte, Ellen&lt;/author&gt;&lt;/authors&gt;&lt;/contributors&gt;&lt;titles&gt;&lt;title&gt;Choice of primary care provider: a review of experiences in three countries&lt;/title&gt;&lt;/titles&gt;&lt;dates&gt;&lt;year&gt;2013&lt;/year&gt;&lt;/dates&gt;&lt;urls&gt;&lt;/urls&gt;&lt;/record&gt;&lt;/Cite&gt;&lt;/EndNote&gt;</w:instrText>
      </w:r>
      <w:r w:rsidR="00EF6E4D" w:rsidRPr="008D04B1">
        <w:rPr>
          <w:rFonts w:cstheme="minorHAnsi"/>
          <w:lang w:val="en-GB"/>
        </w:rPr>
        <w:fldChar w:fldCharType="separate"/>
      </w:r>
      <w:r w:rsidR="00D5448D">
        <w:rPr>
          <w:rFonts w:cstheme="minorHAnsi"/>
          <w:noProof/>
          <w:lang w:val="en-GB"/>
        </w:rPr>
        <w:t>(3)</w:t>
      </w:r>
      <w:r w:rsidR="00EF6E4D" w:rsidRPr="008D04B1">
        <w:rPr>
          <w:rFonts w:cstheme="minorHAnsi"/>
          <w:lang w:val="en-GB"/>
        </w:rPr>
        <w:fldChar w:fldCharType="end"/>
      </w:r>
      <w:r w:rsidR="00D5448D">
        <w:rPr>
          <w:rFonts w:cstheme="minorHAnsi"/>
          <w:lang w:val="en-GB"/>
        </w:rPr>
        <w:t xml:space="preserve"> for a summary of the Scandinavian</w:t>
      </w:r>
      <w:r w:rsidR="000D77E5">
        <w:rPr>
          <w:rFonts w:cstheme="minorHAnsi"/>
          <w:lang w:val="en-GB"/>
        </w:rPr>
        <w:t>,</w:t>
      </w:r>
      <w:r w:rsidR="00D5448D">
        <w:rPr>
          <w:rFonts w:cstheme="minorHAnsi"/>
          <w:lang w:val="en-GB"/>
        </w:rPr>
        <w:t xml:space="preserve"> and </w:t>
      </w:r>
      <w:r w:rsidR="00EF6E4D">
        <w:rPr>
          <w:rFonts w:cstheme="minorHAnsi"/>
          <w:lang w:val="en-GB"/>
        </w:rPr>
        <w:fldChar w:fldCharType="begin">
          <w:fldData xml:space="preserve">PEVuZE5vdGU+PENpdGU+PEF1dGhvcj5TYWx0bWFuPC9BdXRob3I+PFllYXI+MTk5ODwvWWVhcj48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</w:fldData>
        </w:fldChar>
      </w:r>
      <w:r w:rsidR="00D5448D">
        <w:rPr>
          <w:rFonts w:cstheme="minorHAnsi"/>
          <w:lang w:val="en-GB"/>
        </w:rPr>
        <w:instrText xml:space="preserve"> ADDIN EN.CITE </w:instrText>
      </w:r>
      <w:r w:rsidR="00EF6E4D">
        <w:rPr>
          <w:rFonts w:cstheme="minorHAnsi"/>
          <w:lang w:val="en-GB"/>
        </w:rPr>
        <w:fldChar w:fldCharType="begin">
          <w:fldData xml:space="preserve">PEVuZE5vdGU+PENpdGU+PEF1dGhvcj5TYWx0bWFuPC9BdXRob3I+PFllYXI+MTk5ODwvWWVhcj48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</w:fldData>
        </w:fldChar>
      </w:r>
      <w:r w:rsidR="00D5448D">
        <w:rPr>
          <w:rFonts w:cstheme="minorHAnsi"/>
          <w:lang w:val="en-GB"/>
        </w:rPr>
        <w:instrText xml:space="preserve"> ADDIN EN.CITE.DATA </w:instrText>
      </w:r>
      <w:r w:rsidR="00EF6E4D">
        <w:rPr>
          <w:rFonts w:cstheme="minorHAnsi"/>
          <w:lang w:val="en-GB"/>
        </w:rPr>
      </w:r>
      <w:r w:rsidR="00EF6E4D">
        <w:rPr>
          <w:rFonts w:cstheme="minorHAnsi"/>
          <w:lang w:val="en-GB"/>
        </w:rPr>
        <w:fldChar w:fldCharType="end"/>
      </w:r>
      <w:r w:rsidR="00EF6E4D">
        <w:rPr>
          <w:rFonts w:cstheme="minorHAnsi"/>
          <w:lang w:val="en-GB"/>
        </w:rPr>
      </w:r>
      <w:r w:rsidR="00EF6E4D">
        <w:rPr>
          <w:rFonts w:cstheme="minorHAnsi"/>
          <w:lang w:val="en-GB"/>
        </w:rPr>
        <w:fldChar w:fldCharType="separate"/>
      </w:r>
      <w:r w:rsidR="00D5448D">
        <w:rPr>
          <w:rFonts w:cstheme="minorHAnsi"/>
          <w:noProof/>
          <w:lang w:val="en-GB"/>
        </w:rPr>
        <w:t>(4-6)</w:t>
      </w:r>
      <w:r w:rsidR="00EF6E4D">
        <w:rPr>
          <w:rFonts w:cstheme="minorHAnsi"/>
          <w:lang w:val="en-GB"/>
        </w:rPr>
        <w:fldChar w:fldCharType="end"/>
      </w:r>
      <w:r w:rsidR="00D5448D">
        <w:rPr>
          <w:rFonts w:cstheme="minorHAnsi"/>
          <w:lang w:val="en-GB"/>
        </w:rPr>
        <w:t xml:space="preserve"> for the European</w:t>
      </w:r>
      <w:r w:rsidR="000D77E5">
        <w:rPr>
          <w:rFonts w:cstheme="minorHAnsi"/>
          <w:lang w:val="en-GB"/>
        </w:rPr>
        <w:t>,</w:t>
      </w:r>
      <w:r w:rsidR="00D5448D">
        <w:rPr>
          <w:rFonts w:cstheme="minorHAnsi"/>
          <w:lang w:val="en-GB"/>
        </w:rPr>
        <w:t xml:space="preserve"> experience).</w:t>
      </w:r>
    </w:p>
    <w:p w14:paraId="62CE668C" w14:textId="77777777" w:rsidR="00D5448D" w:rsidRDefault="00D5448D">
      <w:pPr>
        <w:spacing w:line="360" w:lineRule="auto"/>
        <w:rPr>
          <w:rFonts w:cstheme="minorHAnsi"/>
          <w:lang w:val="en-GB"/>
        </w:rPr>
      </w:pPr>
    </w:p>
    <w:p w14:paraId="23410551" w14:textId="0720B792" w:rsidR="006015CF" w:rsidRPr="005E4EBB" w:rsidRDefault="00D950CC">
      <w:pPr>
        <w:spacing w:line="360" w:lineRule="auto"/>
        <w:rPr>
          <w:rFonts w:cstheme="minorHAnsi"/>
          <w:lang w:val="en-GB"/>
        </w:rPr>
      </w:pPr>
      <w:r w:rsidRPr="005E4EBB">
        <w:rPr>
          <w:rFonts w:cstheme="minorHAnsi"/>
          <w:lang w:val="en-GB"/>
        </w:rPr>
        <w:t>This</w:t>
      </w:r>
      <w:r w:rsidR="00CB21F4" w:rsidRPr="005E4EBB">
        <w:rPr>
          <w:rFonts w:cstheme="minorHAnsi"/>
          <w:lang w:val="en-GB"/>
        </w:rPr>
        <w:t xml:space="preserve"> policy</w:t>
      </w:r>
      <w:r w:rsidRPr="005E4EBB">
        <w:rPr>
          <w:rFonts w:cstheme="minorHAnsi"/>
          <w:lang w:val="en-GB"/>
        </w:rPr>
        <w:t xml:space="preserve"> </w:t>
      </w:r>
      <w:r w:rsidR="00217434" w:rsidRPr="005E4EBB">
        <w:rPr>
          <w:rFonts w:cstheme="minorHAnsi"/>
          <w:lang w:val="en-GB"/>
        </w:rPr>
        <w:t>follows the</w:t>
      </w:r>
      <w:r w:rsidR="00CB21F4" w:rsidRPr="005E4EBB">
        <w:rPr>
          <w:rFonts w:cstheme="minorHAnsi"/>
          <w:lang w:val="en-GB"/>
        </w:rPr>
        <w:t xml:space="preserve"> 12-</w:t>
      </w:r>
      <w:r w:rsidR="00FB3C59" w:rsidRPr="005E4EBB">
        <w:rPr>
          <w:rFonts w:cstheme="minorHAnsi"/>
          <w:lang w:val="en-GB"/>
        </w:rPr>
        <w:t xml:space="preserve">month </w:t>
      </w:r>
      <w:r w:rsidR="00217434" w:rsidRPr="005E4EBB">
        <w:rPr>
          <w:rFonts w:cstheme="minorHAnsi"/>
          <w:lang w:val="en-GB"/>
        </w:rPr>
        <w:t>Choice of GP</w:t>
      </w:r>
      <w:r w:rsidR="006015CF" w:rsidRPr="005E4EBB">
        <w:rPr>
          <w:rFonts w:cstheme="minorHAnsi"/>
          <w:lang w:val="en-GB"/>
        </w:rPr>
        <w:t xml:space="preserve"> Practice</w:t>
      </w:r>
      <w:r w:rsidR="00217434" w:rsidRPr="005E4EBB">
        <w:rPr>
          <w:rFonts w:cstheme="minorHAnsi"/>
          <w:lang w:val="en-GB"/>
        </w:rPr>
        <w:t xml:space="preserve"> P</w:t>
      </w:r>
      <w:r w:rsidR="00FB3C59" w:rsidRPr="005E4EBB">
        <w:rPr>
          <w:rFonts w:cstheme="minorHAnsi"/>
          <w:lang w:val="en-GB"/>
        </w:rPr>
        <w:t xml:space="preserve">ilot </w:t>
      </w:r>
      <w:r w:rsidR="00C32F60" w:rsidRPr="005E4EBB">
        <w:rPr>
          <w:rFonts w:cstheme="minorHAnsi"/>
          <w:lang w:val="en-GB"/>
        </w:rPr>
        <w:t>(the Pilot</w:t>
      </w:r>
      <w:r w:rsidR="00A82A8A">
        <w:rPr>
          <w:rFonts w:cstheme="minorHAnsi"/>
          <w:lang w:val="en-GB"/>
        </w:rPr>
        <w:t xml:space="preserve">, see Box 1 for </w:t>
      </w:r>
      <w:r w:rsidR="00971054">
        <w:rPr>
          <w:rFonts w:cstheme="minorHAnsi"/>
          <w:lang w:val="en-GB"/>
        </w:rPr>
        <w:t>details</w:t>
      </w:r>
      <w:r w:rsidR="00C32F60" w:rsidRPr="005E4EBB">
        <w:rPr>
          <w:rFonts w:cstheme="minorHAnsi"/>
          <w:lang w:val="en-GB"/>
        </w:rPr>
        <w:t xml:space="preserve">) </w:t>
      </w:r>
      <w:r w:rsidR="00FB3C59" w:rsidRPr="005E4EBB">
        <w:rPr>
          <w:rFonts w:cstheme="minorHAnsi"/>
          <w:lang w:val="en-GB"/>
        </w:rPr>
        <w:t xml:space="preserve">where </w:t>
      </w:r>
      <w:r w:rsidR="006015CF" w:rsidRPr="005E4EBB">
        <w:rPr>
          <w:rFonts w:cstheme="minorHAnsi"/>
          <w:lang w:val="en-GB"/>
        </w:rPr>
        <w:t xml:space="preserve">volunteer </w:t>
      </w:r>
      <w:r w:rsidR="00F9259E" w:rsidRPr="005E4EBB">
        <w:rPr>
          <w:rFonts w:cstheme="minorHAnsi"/>
          <w:lang w:val="en-GB"/>
        </w:rPr>
        <w:t>GP practices accept</w:t>
      </w:r>
      <w:r w:rsidR="00F21D2F" w:rsidRPr="005E4EBB">
        <w:rPr>
          <w:rFonts w:cstheme="minorHAnsi"/>
          <w:lang w:val="en-GB"/>
        </w:rPr>
        <w:t>ed</w:t>
      </w:r>
      <w:r w:rsidR="00F9259E" w:rsidRPr="005E4EBB">
        <w:rPr>
          <w:rFonts w:cstheme="minorHAnsi"/>
          <w:lang w:val="en-GB"/>
        </w:rPr>
        <w:t xml:space="preserve"> patients from outside their </w:t>
      </w:r>
      <w:r w:rsidR="00FB3C59" w:rsidRPr="005E4EBB">
        <w:rPr>
          <w:rFonts w:cstheme="minorHAnsi"/>
          <w:lang w:val="en-GB"/>
        </w:rPr>
        <w:t>pract</w:t>
      </w:r>
      <w:r w:rsidR="00CB21F4" w:rsidRPr="005E4EBB">
        <w:rPr>
          <w:rFonts w:cstheme="minorHAnsi"/>
          <w:lang w:val="en-GB"/>
        </w:rPr>
        <w:t>ice boundaries in</w:t>
      </w:r>
      <w:r w:rsidR="006A23D8" w:rsidRPr="005E4EBB">
        <w:rPr>
          <w:rFonts w:cstheme="minorHAnsi"/>
          <w:lang w:val="en-GB"/>
        </w:rPr>
        <w:t xml:space="preserve"> four</w:t>
      </w:r>
      <w:r w:rsidR="006015CF" w:rsidRPr="005E4EBB">
        <w:rPr>
          <w:rFonts w:cstheme="minorHAnsi"/>
          <w:lang w:val="en-GB"/>
        </w:rPr>
        <w:t xml:space="preserve"> former primary care trust (PCT) areas</w:t>
      </w:r>
      <w:r w:rsidR="00FC0B8D">
        <w:rPr>
          <w:rFonts w:cstheme="minorHAnsi"/>
          <w:lang w:val="en-GB"/>
        </w:rPr>
        <w:t xml:space="preserve"> (</w:t>
      </w:r>
      <w:r w:rsidR="00D5448D">
        <w:rPr>
          <w:rFonts w:cstheme="minorHAnsi"/>
          <w:lang w:val="en-GB"/>
        </w:rPr>
        <w:t xml:space="preserve">PCTs were </w:t>
      </w:r>
      <w:r w:rsidR="00FC0B8D">
        <w:rPr>
          <w:rFonts w:cstheme="minorHAnsi"/>
          <w:lang w:val="en-GB"/>
        </w:rPr>
        <w:t>succeeded by Clinical Commissioning Groups (CCG</w:t>
      </w:r>
      <w:r w:rsidR="00D5448D">
        <w:rPr>
          <w:rFonts w:cstheme="minorHAnsi"/>
          <w:lang w:val="en-GB"/>
        </w:rPr>
        <w:t>s</w:t>
      </w:r>
      <w:r w:rsidR="00FC0B8D">
        <w:rPr>
          <w:rFonts w:cstheme="minorHAnsi"/>
          <w:lang w:val="en-GB"/>
        </w:rPr>
        <w:t>) in April 2013)</w:t>
      </w:r>
      <w:r w:rsidR="00E427A3" w:rsidRPr="005E4EBB">
        <w:rPr>
          <w:rFonts w:cstheme="minorHAnsi"/>
          <w:lang w:val="en-GB"/>
        </w:rPr>
        <w:t xml:space="preserve"> </w:t>
      </w:r>
      <w:r w:rsidR="00EF6E4D" w:rsidRPr="00F300E0">
        <w:rPr>
          <w:rFonts w:cstheme="minorHAnsi"/>
          <w:lang w:val="en-GB"/>
        </w:rPr>
        <w:fldChar w:fldCharType="begin"/>
      </w:r>
      <w:r w:rsidR="00A4727D">
        <w:rPr>
          <w:rFonts w:cstheme="minorHAnsi"/>
          <w:lang w:val="en-GB"/>
        </w:rPr>
        <w:instrText xml:space="preserve"> ADDIN EN.CITE &lt;EndNote&gt;&lt;Cite&gt;&lt;Author&gt;Health&lt;/Author&gt;&lt;Year&gt;2012&lt;/Year&gt;&lt;RecNum&gt;37&lt;/RecNum&gt;&lt;DisplayText&gt;(3)&lt;/DisplayText&gt;&lt;record&gt;&lt;rec-number&gt;37&lt;/rec-number&gt;&lt;foreign-keys&gt;&lt;key app="EN" db-id="ptdswpda0va5vqe5pzg5w50lf0txassaw0zx"&gt;37&lt;/key&gt;&lt;/foreign-keys&gt;&lt;ref-type name="Web Page"&gt;12&lt;/ref-type&gt;&lt;contributors&gt;&lt;authors&gt;&lt;author&gt;Department of Health,&lt;/author&gt;&lt;/authors&gt;&lt;secondary-authors&gt;&lt;author&gt;Department of Health&lt;/author&gt;&lt;/secondary-authors&gt;&lt;/contributors&gt;&lt;titles&gt;&lt;title&gt;Choice of GP Practice: the patient choice scheme&lt;/title&gt;&lt;/titles&gt;&lt;dates&gt;&lt;year&gt;2012&lt;/year&gt;&lt;/dates&gt;&lt;urls&gt;&lt;related-urls&gt;&lt;url&gt;https://www.gov.uk/government/uploads/system/uploads/attachment_data/file/152294/dh_133411.pdf.pdf&lt;/url&gt;&lt;/related-urls&gt;&lt;/urls&gt;&lt;access-date&gt;16 April 2013&lt;/access-date&gt;&lt;/record&gt;&lt;/Cite&gt;&lt;/EndNote&gt;</w:instrText>
      </w:r>
      <w:r w:rsidR="00EF6E4D" w:rsidRPr="00F300E0">
        <w:rPr>
          <w:rFonts w:cstheme="minorHAnsi"/>
          <w:lang w:val="en-GB"/>
        </w:rPr>
        <w:fldChar w:fldCharType="separate"/>
      </w:r>
      <w:r w:rsidR="00D5448D">
        <w:rPr>
          <w:rFonts w:cstheme="minorHAnsi"/>
          <w:noProof/>
          <w:lang w:val="en-GB"/>
        </w:rPr>
        <w:t>(7)</w:t>
      </w:r>
      <w:r w:rsidR="00EF6E4D" w:rsidRPr="00F300E0">
        <w:rPr>
          <w:rFonts w:cstheme="minorHAnsi"/>
          <w:lang w:val="en-GB"/>
        </w:rPr>
        <w:fldChar w:fldCharType="end"/>
      </w:r>
      <w:r w:rsidR="00CE5AEC" w:rsidRPr="005E4EBB">
        <w:rPr>
          <w:rFonts w:cstheme="minorHAnsi"/>
          <w:lang w:val="en-GB"/>
        </w:rPr>
        <w:t>.</w:t>
      </w:r>
      <w:r w:rsidR="00697192" w:rsidRPr="005E4EBB">
        <w:rPr>
          <w:rFonts w:cstheme="minorHAnsi"/>
          <w:lang w:val="en-GB"/>
        </w:rPr>
        <w:t xml:space="preserve"> </w:t>
      </w:r>
      <w:r w:rsidR="00D5448D">
        <w:rPr>
          <w:rFonts w:cstheme="minorHAnsi"/>
          <w:lang w:val="en-GB"/>
        </w:rPr>
        <w:t xml:space="preserve"> This brief pilot is one of the very few sources of evidence about the potential effects of removing practice boundaries (7).</w:t>
      </w:r>
    </w:p>
    <w:p w14:paraId="1075C2F4" w14:textId="77777777" w:rsidR="00154DB2" w:rsidRPr="008D04B1" w:rsidRDefault="00154DB2" w:rsidP="00D55196">
      <w:pPr>
        <w:spacing w:line="360" w:lineRule="auto"/>
        <w:rPr>
          <w:rFonts w:cstheme="minorHAnsi"/>
          <w:lang w:val="en-GB"/>
        </w:rPr>
      </w:pPr>
    </w:p>
    <w:p w14:paraId="10C4CBE8" w14:textId="77777777" w:rsidR="00BF5DB4" w:rsidRPr="008D04B1" w:rsidRDefault="0029245F" w:rsidP="00D55196">
      <w:pPr>
        <w:spacing w:line="360" w:lineRule="auto"/>
        <w:rPr>
          <w:rFonts w:cstheme="minorHAnsi"/>
          <w:lang w:val="en-GB"/>
        </w:rPr>
      </w:pPr>
      <w:r w:rsidRPr="008D04B1">
        <w:rPr>
          <w:rFonts w:cstheme="minorHAnsi"/>
          <w:lang w:val="en-GB"/>
        </w:rPr>
        <w:t xml:space="preserve">Practice boundaries were not an original feature of the NHS, but were gradually instigated by practices from the 1980s as a way of managing list sizes to maintain quality of care and avoid long waits, </w:t>
      </w:r>
      <w:r w:rsidR="00D5448D">
        <w:rPr>
          <w:rFonts w:cstheme="minorHAnsi"/>
          <w:lang w:val="en-GB"/>
        </w:rPr>
        <w:t xml:space="preserve">of </w:t>
      </w:r>
      <w:r w:rsidRPr="008D04B1">
        <w:rPr>
          <w:rFonts w:cstheme="minorHAnsi"/>
          <w:lang w:val="en-GB"/>
        </w:rPr>
        <w:t xml:space="preserve">preserving a full </w:t>
      </w:r>
      <w:r w:rsidR="00765A1A" w:rsidRPr="008D04B1">
        <w:rPr>
          <w:rFonts w:cstheme="minorHAnsi"/>
          <w:lang w:val="en-GB"/>
        </w:rPr>
        <w:t xml:space="preserve">GP </w:t>
      </w:r>
      <w:r w:rsidRPr="008D04B1">
        <w:rPr>
          <w:rFonts w:cstheme="minorHAnsi"/>
          <w:lang w:val="en-GB"/>
        </w:rPr>
        <w:t xml:space="preserve">service </w:t>
      </w:r>
      <w:r w:rsidR="00BF5DB4" w:rsidRPr="008D04B1">
        <w:rPr>
          <w:rFonts w:cstheme="minorHAnsi"/>
          <w:lang w:val="en-GB"/>
        </w:rPr>
        <w:t>(</w:t>
      </w:r>
      <w:r w:rsidRPr="008D04B1">
        <w:rPr>
          <w:rFonts w:cstheme="minorHAnsi"/>
          <w:lang w:val="en-GB"/>
        </w:rPr>
        <w:t>including home visits</w:t>
      </w:r>
      <w:r w:rsidR="00BF5DB4" w:rsidRPr="008D04B1">
        <w:rPr>
          <w:rFonts w:cstheme="minorHAnsi"/>
          <w:lang w:val="en-GB"/>
        </w:rPr>
        <w:t>)</w:t>
      </w:r>
      <w:r w:rsidRPr="008D04B1">
        <w:rPr>
          <w:rFonts w:cstheme="minorHAnsi"/>
          <w:lang w:val="en-GB"/>
        </w:rPr>
        <w:t xml:space="preserve"> and </w:t>
      </w:r>
      <w:r w:rsidR="00D5448D">
        <w:rPr>
          <w:rFonts w:cstheme="minorHAnsi"/>
          <w:lang w:val="en-GB"/>
        </w:rPr>
        <w:t xml:space="preserve">of </w:t>
      </w:r>
      <w:r w:rsidRPr="008D04B1">
        <w:rPr>
          <w:rFonts w:cstheme="minorHAnsi"/>
          <w:lang w:val="en-GB"/>
        </w:rPr>
        <w:t>encouraging a focus on a defined local population.</w:t>
      </w:r>
      <w:r w:rsidR="002F4D86" w:rsidRPr="008D04B1">
        <w:rPr>
          <w:rFonts w:cstheme="minorHAnsi"/>
          <w:lang w:val="en-GB"/>
        </w:rPr>
        <w:t xml:space="preserve"> </w:t>
      </w:r>
    </w:p>
    <w:p w14:paraId="68CF3EC6" w14:textId="77777777" w:rsidR="00BF5DB4" w:rsidRPr="008D04B1" w:rsidRDefault="00BF5DB4" w:rsidP="00D55196">
      <w:pPr>
        <w:spacing w:line="360" w:lineRule="auto"/>
        <w:rPr>
          <w:rFonts w:cstheme="minorHAnsi"/>
          <w:lang w:val="en-GB"/>
        </w:rPr>
      </w:pPr>
    </w:p>
    <w:p w14:paraId="71A8144F" w14:textId="15198294" w:rsidR="004301C7" w:rsidRDefault="005158DF" w:rsidP="00D55196">
      <w:pPr>
        <w:spacing w:line="360" w:lineRule="auto"/>
        <w:rPr>
          <w:rFonts w:cstheme="minorHAnsi"/>
          <w:lang w:val="en-GB"/>
        </w:rPr>
      </w:pPr>
      <w:r w:rsidRPr="008D04B1">
        <w:rPr>
          <w:rFonts w:cstheme="minorHAnsi"/>
          <w:lang w:val="en-GB"/>
        </w:rPr>
        <w:t>Removing practice boundaries</w:t>
      </w:r>
      <w:r w:rsidR="002F4D86" w:rsidRPr="008D04B1">
        <w:rPr>
          <w:rFonts w:cstheme="minorHAnsi"/>
          <w:lang w:val="en-GB"/>
        </w:rPr>
        <w:t xml:space="preserve"> is part of a series of recent efforts to</w:t>
      </w:r>
      <w:r w:rsidRPr="008D04B1">
        <w:rPr>
          <w:rFonts w:cstheme="minorHAnsi"/>
          <w:lang w:val="en-GB"/>
        </w:rPr>
        <w:t xml:space="preserve"> improve access to urgent and first contact care by making</w:t>
      </w:r>
      <w:r w:rsidR="002F4D86" w:rsidRPr="008D04B1">
        <w:rPr>
          <w:rFonts w:cstheme="minorHAnsi"/>
          <w:lang w:val="en-GB"/>
        </w:rPr>
        <w:t xml:space="preserve"> the </w:t>
      </w:r>
      <w:r w:rsidR="00D5448D">
        <w:rPr>
          <w:rFonts w:cstheme="minorHAnsi"/>
          <w:lang w:val="en-GB"/>
        </w:rPr>
        <w:t xml:space="preserve">English </w:t>
      </w:r>
      <w:r w:rsidR="002F4D86" w:rsidRPr="008D04B1">
        <w:rPr>
          <w:rFonts w:cstheme="minorHAnsi"/>
          <w:lang w:val="en-GB"/>
        </w:rPr>
        <w:t>NHS more responsive</w:t>
      </w:r>
      <w:r w:rsidR="00EA4A2B" w:rsidRPr="008D04B1">
        <w:rPr>
          <w:rFonts w:cstheme="minorHAnsi"/>
          <w:lang w:val="en-GB"/>
        </w:rPr>
        <w:t xml:space="preserve"> and</w:t>
      </w:r>
      <w:r w:rsidR="002F4D86" w:rsidRPr="008D04B1">
        <w:rPr>
          <w:rFonts w:cstheme="minorHAnsi"/>
          <w:lang w:val="en-GB"/>
        </w:rPr>
        <w:t xml:space="preserve"> </w:t>
      </w:r>
      <w:r w:rsidR="002F4D86" w:rsidRPr="008D04B1">
        <w:rPr>
          <w:rFonts w:cstheme="minorHAnsi"/>
          <w:lang w:val="en-GB"/>
        </w:rPr>
        <w:lastRenderedPageBreak/>
        <w:t>flexible</w:t>
      </w:r>
      <w:r w:rsidR="00955639">
        <w:rPr>
          <w:rFonts w:cstheme="minorHAnsi"/>
          <w:lang w:val="en-GB"/>
        </w:rPr>
        <w:t>.  Between 1997</w:t>
      </w:r>
      <w:r w:rsidR="00D5448D">
        <w:rPr>
          <w:rFonts w:cstheme="minorHAnsi"/>
          <w:lang w:val="en-GB"/>
        </w:rPr>
        <w:t xml:space="preserve"> and </w:t>
      </w:r>
      <w:r w:rsidR="00955639">
        <w:rPr>
          <w:rFonts w:cstheme="minorHAnsi"/>
          <w:lang w:val="en-GB"/>
        </w:rPr>
        <w:t xml:space="preserve">2010, ten initiatives </w:t>
      </w:r>
      <w:r w:rsidR="003221F7">
        <w:rPr>
          <w:rFonts w:cstheme="minorHAnsi"/>
          <w:lang w:val="en-GB"/>
        </w:rPr>
        <w:t xml:space="preserve">were introduced </w:t>
      </w:r>
      <w:r w:rsidR="00955639">
        <w:rPr>
          <w:rFonts w:cstheme="minorHAnsi"/>
          <w:lang w:val="en-GB"/>
        </w:rPr>
        <w:t xml:space="preserve">to improve access to, and choice of, primary and urgent care provider </w:t>
      </w:r>
      <w:r w:rsidR="003221F7">
        <w:rPr>
          <w:rFonts w:cstheme="minorHAnsi"/>
          <w:lang w:val="en-GB"/>
        </w:rPr>
        <w:t>in</w:t>
      </w:r>
      <w:r w:rsidR="00955639">
        <w:rPr>
          <w:rFonts w:cstheme="minorHAnsi"/>
          <w:lang w:val="en-GB"/>
        </w:rPr>
        <w:t xml:space="preserve"> the English NHS; several of these </w:t>
      </w:r>
      <w:r w:rsidR="00A77B5D">
        <w:rPr>
          <w:rFonts w:cstheme="minorHAnsi"/>
          <w:lang w:val="en-GB"/>
        </w:rPr>
        <w:t>were</w:t>
      </w:r>
      <w:r w:rsidR="00590FC2">
        <w:rPr>
          <w:rFonts w:cstheme="minorHAnsi"/>
          <w:lang w:val="en-GB"/>
        </w:rPr>
        <w:t xml:space="preserve"> </w:t>
      </w:r>
      <w:r w:rsidR="00D5448D">
        <w:rPr>
          <w:rFonts w:cstheme="minorHAnsi"/>
          <w:lang w:val="en-GB"/>
        </w:rPr>
        <w:t>additional</w:t>
      </w:r>
      <w:r w:rsidR="00590FC2">
        <w:rPr>
          <w:rFonts w:cstheme="minorHAnsi"/>
          <w:lang w:val="en-GB"/>
        </w:rPr>
        <w:t xml:space="preserve"> source</w:t>
      </w:r>
      <w:r w:rsidR="00A77B5D">
        <w:rPr>
          <w:rFonts w:cstheme="minorHAnsi"/>
          <w:lang w:val="en-GB"/>
        </w:rPr>
        <w:t>s</w:t>
      </w:r>
      <w:r w:rsidR="00590FC2">
        <w:rPr>
          <w:rFonts w:cstheme="minorHAnsi"/>
          <w:lang w:val="en-GB"/>
        </w:rPr>
        <w:t xml:space="preserve"> of primary or urgent care services</w:t>
      </w:r>
      <w:r w:rsidR="00A77B5D">
        <w:rPr>
          <w:rFonts w:cstheme="minorHAnsi"/>
          <w:lang w:val="en-GB"/>
        </w:rPr>
        <w:t>, such as walk-in centres</w:t>
      </w:r>
      <w:r w:rsidR="00A82A8A">
        <w:rPr>
          <w:rFonts w:cstheme="minorHAnsi"/>
          <w:lang w:val="en-GB"/>
        </w:rPr>
        <w:t xml:space="preserve"> or urgent care centres</w:t>
      </w:r>
      <w:r w:rsidR="00A77B5D">
        <w:rPr>
          <w:rFonts w:cstheme="minorHAnsi"/>
          <w:lang w:val="en-GB"/>
        </w:rPr>
        <w:t>,</w:t>
      </w:r>
      <w:r w:rsidR="00590FC2">
        <w:rPr>
          <w:rFonts w:cstheme="minorHAnsi"/>
          <w:lang w:val="en-GB"/>
        </w:rPr>
        <w:t xml:space="preserve"> to improve patient convenience</w:t>
      </w:r>
      <w:r w:rsidR="00A82A8A">
        <w:rPr>
          <w:rFonts w:cstheme="minorHAnsi"/>
          <w:lang w:val="en-GB"/>
        </w:rPr>
        <w:t>,</w:t>
      </w:r>
      <w:r w:rsidR="00590FC2">
        <w:rPr>
          <w:rFonts w:cstheme="minorHAnsi"/>
          <w:lang w:val="en-GB"/>
        </w:rPr>
        <w:t xml:space="preserve"> as opposed to competition</w:t>
      </w:r>
      <w:r w:rsidR="00D5448D">
        <w:rPr>
          <w:rFonts w:cstheme="minorHAnsi"/>
          <w:lang w:val="en-GB"/>
        </w:rPr>
        <w:t xml:space="preserve"> with existing general practices</w:t>
      </w:r>
      <w:r w:rsidR="00C13520" w:rsidRPr="008D04B1">
        <w:rPr>
          <w:rFonts w:cstheme="minorHAnsi"/>
          <w:lang w:val="en-GB"/>
        </w:rPr>
        <w:t xml:space="preserve"> </w:t>
      </w:r>
      <w:r w:rsidR="00EF6E4D">
        <w:rPr>
          <w:rFonts w:cstheme="minorHAnsi"/>
          <w:lang w:val="en-GB"/>
        </w:rPr>
        <w:fldChar w:fldCharType="begin"/>
      </w:r>
      <w:r w:rsidR="00A4727D">
        <w:rPr>
          <w:rFonts w:cstheme="minorHAnsi"/>
          <w:lang w:val="en-GB"/>
        </w:rPr>
        <w:instrText xml:space="preserve"> ADDIN EN.CITE &lt;EndNote&gt;&lt;Cite&gt;&lt;Author&gt;Tan&lt;/Author&gt;&lt;RecNum&gt;87&lt;/RecNum&gt;&lt;DisplayText&gt;(4)&lt;/DisplayText&gt;&lt;record&gt;&lt;rec-number&gt;87&lt;/rec-number&gt;&lt;foreign-keys&gt;&lt;key app="EN" db-id="ptdswpda0va5vqe5pzg5w50lf0txassaw0zx"&gt;87&lt;/key&gt;&lt;/foreign-keys&gt;&lt;ref-type name="Journal Article"&gt;17&lt;/ref-type&gt;&lt;contributors&gt;&lt;authors&gt;&lt;author&gt;Tan, Stefanie&lt;/author&gt;&lt;author&gt;Mays, Nicholas&lt;/author&gt;&lt;/authors&gt;&lt;/contributors&gt;&lt;titles&gt;&lt;title&gt;Impact of initiatives to improve access to, and choice of, primary and urgent care in the England: A systematic review&lt;/title&gt;&lt;secondary-title&gt;Health Policy&lt;/secondary-title&gt;&lt;/titles&gt;&lt;periodical&gt;&lt;full-title&gt;Health Policy&lt;/full-title&gt;&lt;/periodical&gt;&lt;number&gt;0&lt;/number&gt;&lt;edition&gt;24 July 2014&lt;/edition&gt;&lt;keywords&gt;&lt;keyword&gt;Primary care reform&lt;/keyword&gt;&lt;keyword&gt;Urgent care&lt;/keyword&gt;&lt;keyword&gt;Patient choice&lt;/keyword&gt;&lt;keyword&gt;Access&lt;/keyword&gt;&lt;keyword&gt;England&lt;/keyword&gt;&lt;keyword&gt;NHS&lt;/keyword&gt;&lt;/keywords&gt;&lt;dates&gt;&lt;year&gt;2014&lt;/year&gt;&lt;/dates&gt;&lt;isbn&gt;0168-8510&lt;/isbn&gt;&lt;urls&gt;&lt;related-urls&gt;&lt;url&gt;http://www.sciencedirect.com/science/article/pii/S0168851014001766&lt;/url&gt;&lt;url&gt;http://ac.els-cdn.com/S0168851014001766/1-s2.0-S0168851014001766-main.pdf?_tid=d588a4da-27b0-11e4-bbcc-00000aab0f6b&amp;amp;acdnat=1408460297_144cbf57c4bbd76c4cf598b2fa936741&lt;/url&gt;&lt;/related-urls&gt;&lt;/urls&gt;&lt;electronic-resource-num&gt;http://dx.doi.org/10.1016/j.healthpol.2014.07.011&lt;/electronic-resource-num&gt;&lt;/record&gt;&lt;/Cite&gt;&lt;/EndNote&gt;</w:instrText>
      </w:r>
      <w:r w:rsidR="00EF6E4D">
        <w:rPr>
          <w:rFonts w:cstheme="minorHAnsi"/>
          <w:lang w:val="en-GB"/>
        </w:rPr>
        <w:fldChar w:fldCharType="separate"/>
      </w:r>
      <w:r w:rsidR="00D5448D">
        <w:rPr>
          <w:rFonts w:cstheme="minorHAnsi"/>
          <w:noProof/>
          <w:lang w:val="en-GB"/>
        </w:rPr>
        <w:t>(8)</w:t>
      </w:r>
      <w:r w:rsidR="00EF6E4D">
        <w:rPr>
          <w:rFonts w:cstheme="minorHAnsi"/>
          <w:lang w:val="en-GB"/>
        </w:rPr>
        <w:fldChar w:fldCharType="end"/>
      </w:r>
      <w:r w:rsidR="002F4D86" w:rsidRPr="008D04B1">
        <w:rPr>
          <w:rFonts w:cstheme="minorHAnsi"/>
          <w:lang w:val="en-GB"/>
        </w:rPr>
        <w:t>.</w:t>
      </w:r>
      <w:r w:rsidR="00955639">
        <w:rPr>
          <w:rFonts w:cstheme="minorHAnsi"/>
          <w:lang w:val="en-GB"/>
        </w:rPr>
        <w:t xml:space="preserve"> </w:t>
      </w:r>
      <w:r w:rsidR="003A4D08" w:rsidRPr="008D04B1">
        <w:rPr>
          <w:rFonts w:cstheme="minorHAnsi"/>
          <w:lang w:val="en-GB"/>
        </w:rPr>
        <w:t xml:space="preserve">  </w:t>
      </w:r>
    </w:p>
    <w:p w14:paraId="5FCC6315" w14:textId="77777777" w:rsidR="00FC0C35" w:rsidRPr="008D04B1" w:rsidRDefault="00FC0C35" w:rsidP="00D55196">
      <w:pPr>
        <w:spacing w:line="360" w:lineRule="auto"/>
        <w:rPr>
          <w:rFonts w:cstheme="minorHAnsi"/>
          <w:lang w:val="en-GB"/>
        </w:rPr>
      </w:pPr>
    </w:p>
    <w:p w14:paraId="3F021590" w14:textId="7E14C5D8" w:rsidR="006015CF" w:rsidRPr="008D04B1" w:rsidRDefault="007421E0" w:rsidP="00D55196">
      <w:pPr>
        <w:spacing w:line="360" w:lineRule="auto"/>
        <w:rPr>
          <w:rFonts w:cstheme="minorHAnsi"/>
          <w:lang w:val="en-GB"/>
        </w:rPr>
      </w:pPr>
      <w:r w:rsidRPr="008D04B1">
        <w:rPr>
          <w:rFonts w:cstheme="minorHAnsi"/>
          <w:lang w:val="en-GB"/>
        </w:rPr>
        <w:t>We use</w:t>
      </w:r>
      <w:r w:rsidR="00126188">
        <w:rPr>
          <w:rFonts w:cstheme="minorHAnsi"/>
          <w:lang w:val="en-GB"/>
        </w:rPr>
        <w:t xml:space="preserve"> the</w:t>
      </w:r>
      <w:r w:rsidRPr="008D04B1">
        <w:rPr>
          <w:rFonts w:cstheme="minorHAnsi"/>
          <w:lang w:val="en-GB"/>
        </w:rPr>
        <w:t xml:space="preserve"> evaluation</w:t>
      </w:r>
      <w:r w:rsidR="00126188">
        <w:rPr>
          <w:rFonts w:cstheme="minorHAnsi"/>
          <w:lang w:val="en-GB"/>
        </w:rPr>
        <w:t xml:space="preserve"> of the Choice of GP Practice Pilot</w:t>
      </w:r>
      <w:r w:rsidR="00FC0C35" w:rsidRPr="008D04B1">
        <w:rPr>
          <w:rFonts w:cstheme="minorHAnsi"/>
          <w:lang w:val="en-GB"/>
        </w:rPr>
        <w:t xml:space="preserve"> (see Box </w:t>
      </w:r>
      <w:r w:rsidR="00F75B0E">
        <w:rPr>
          <w:rFonts w:cstheme="minorHAnsi"/>
          <w:lang w:val="en-GB"/>
        </w:rPr>
        <w:t xml:space="preserve">1 </w:t>
      </w:r>
      <w:r w:rsidR="00FC0C35" w:rsidRPr="008D04B1">
        <w:rPr>
          <w:rFonts w:cstheme="minorHAnsi"/>
          <w:lang w:val="en-GB"/>
        </w:rPr>
        <w:t>for a summary</w:t>
      </w:r>
      <w:r w:rsidR="007D1A78">
        <w:rPr>
          <w:rFonts w:cstheme="minorHAnsi"/>
          <w:lang w:val="en-GB"/>
        </w:rPr>
        <w:t xml:space="preserve"> of the study</w:t>
      </w:r>
      <w:r w:rsidR="00126188">
        <w:rPr>
          <w:rFonts w:cstheme="minorHAnsi"/>
          <w:lang w:val="en-GB"/>
        </w:rPr>
        <w:t>)</w:t>
      </w:r>
      <w:r w:rsidR="00FE0424" w:rsidRPr="008D04B1">
        <w:rPr>
          <w:rFonts w:cstheme="minorHAnsi"/>
          <w:lang w:val="en-GB"/>
        </w:rPr>
        <w:t xml:space="preserve"> </w:t>
      </w:r>
      <w:r w:rsidR="00EF6E4D" w:rsidRPr="008D04B1">
        <w:rPr>
          <w:rFonts w:cstheme="minorHAnsi"/>
          <w:lang w:val="en-GB"/>
        </w:rPr>
        <w:fldChar w:fldCharType="begin"/>
      </w:r>
      <w:r w:rsidR="00A4727D">
        <w:rPr>
          <w:rFonts w:cstheme="minorHAnsi"/>
          <w:lang w:val="en-GB"/>
        </w:rPr>
        <w:instrText xml:space="preserve"> ADDIN EN.CITE &lt;EndNote&gt;&lt;Cite&gt;&lt;Author&gt;Mays&lt;/Author&gt;&lt;Year&gt;2014&lt;/Year&gt;&lt;RecNum&gt;67&lt;/RecNum&gt;&lt;DisplayText&gt;(9)&lt;/DisplayText&gt;&lt;record&gt;&lt;rec-number&gt;67&lt;/rec-number&gt;&lt;foreign-keys&gt;&lt;key app="EN" db-id="ptdswpda0va5vqe5pzg5w50lf0txassaw0zx"&gt;67&lt;/key&gt;&lt;/foreign-keys&gt;&lt;ref-type name="Web Page"&gt;12&lt;/ref-type&gt;&lt;contributors&gt;&lt;authors&gt;&lt;author&gt;Mays, Nicholas&lt;/author&gt;&lt;author&gt;Eastmure, E&lt;/author&gt;&lt;author&gt;Erens, B&lt;/author&gt;&lt;author&gt;Lagarde, M&lt;/author&gt;&lt;author&gt;Roland, Martin&lt;/author&gt;&lt;author&gt;Tan, Stefanie&lt;/author&gt;&lt;author&gt;Wright, M&lt;/author&gt;&lt;/authors&gt;&lt;/contributors&gt;&lt;titles&gt;&lt;title&gt;Evaluation of the choice of GP practice pilot, 2012-13: final report&lt;/title&gt;&lt;/titles&gt;&lt;dates&gt;&lt;year&gt;2014&lt;/year&gt;&lt;/dates&gt;&lt;publisher&gt;London School of Hygiene and Tropical Medicine&lt;/publisher&gt;&lt;urls&gt;&lt;related-urls&gt;&lt;url&gt;www.piru.ac.uk/assets/files/General%20Practice%20Choice%20Pilot%20Evaluation.pdf&lt;/url&gt;&lt;/related-urls&gt;&lt;/urls&gt;&lt;/record&gt;&lt;/Cite&gt;&lt;/EndNote&gt;</w:instrText>
      </w:r>
      <w:r w:rsidR="00EF6E4D" w:rsidRPr="008D04B1">
        <w:rPr>
          <w:rFonts w:cstheme="minorHAnsi"/>
          <w:lang w:val="en-GB"/>
        </w:rPr>
        <w:fldChar w:fldCharType="separate"/>
      </w:r>
      <w:r w:rsidR="00D5448D">
        <w:rPr>
          <w:rFonts w:cstheme="minorHAnsi"/>
          <w:noProof/>
          <w:lang w:val="en-GB"/>
        </w:rPr>
        <w:t>(9)</w:t>
      </w:r>
      <w:r w:rsidR="00EF6E4D" w:rsidRPr="008D04B1">
        <w:rPr>
          <w:rFonts w:cstheme="minorHAnsi"/>
          <w:lang w:val="en-GB"/>
        </w:rPr>
        <w:fldChar w:fldCharType="end"/>
      </w:r>
      <w:r w:rsidR="00FC0C35" w:rsidRPr="008D04B1">
        <w:rPr>
          <w:rFonts w:cstheme="minorHAnsi"/>
          <w:lang w:val="en-GB"/>
        </w:rPr>
        <w:t>)</w:t>
      </w:r>
      <w:r w:rsidRPr="008D04B1">
        <w:rPr>
          <w:rFonts w:cstheme="minorHAnsi"/>
          <w:lang w:val="en-GB"/>
        </w:rPr>
        <w:t xml:space="preserve"> as the basis of an analysis of the likely impacts of the roll out of the Pilot</w:t>
      </w:r>
      <w:r w:rsidR="00FC0C35" w:rsidRPr="008D04B1">
        <w:rPr>
          <w:rFonts w:cstheme="minorHAnsi"/>
          <w:lang w:val="en-GB"/>
        </w:rPr>
        <w:t xml:space="preserve"> (Table 1 sets out the potential advantages and disadvantages in more detail).</w:t>
      </w:r>
    </w:p>
    <w:p w14:paraId="4E021598" w14:textId="77777777" w:rsidR="00FC0C35" w:rsidRPr="008D04B1" w:rsidRDefault="00FC0C35" w:rsidP="00997774">
      <w:pPr>
        <w:spacing w:line="360" w:lineRule="auto"/>
        <w:rPr>
          <w:rFonts w:cstheme="minorHAnsi"/>
          <w:b/>
          <w:lang w:val="en-GB"/>
        </w:rPr>
      </w:pPr>
    </w:p>
    <w:p w14:paraId="410351B8" w14:textId="77777777" w:rsidR="005E4EBB" w:rsidRPr="00DA5E4D" w:rsidRDefault="005E4EBB" w:rsidP="00DA5E4D">
      <w:pPr>
        <w:pStyle w:val="ListParagraph"/>
        <w:numPr>
          <w:ilvl w:val="0"/>
          <w:numId w:val="13"/>
        </w:numPr>
        <w:spacing w:line="360" w:lineRule="auto"/>
        <w:rPr>
          <w:rFonts w:cstheme="minorHAnsi"/>
          <w:lang w:val="en-GB"/>
        </w:rPr>
      </w:pPr>
      <w:r>
        <w:rPr>
          <w:rFonts w:cstheme="minorHAnsi"/>
          <w:b/>
          <w:lang w:val="en-GB"/>
        </w:rPr>
        <w:t>The</w:t>
      </w:r>
      <w:r w:rsidR="006D3C5B" w:rsidRPr="00DA5E4D">
        <w:rPr>
          <w:rFonts w:cstheme="minorHAnsi"/>
          <w:b/>
          <w:lang w:val="en-GB"/>
        </w:rPr>
        <w:t xml:space="preserve"> likely impacts of removing practice boundaries based on the </w:t>
      </w:r>
      <w:r w:rsidR="00A216DA" w:rsidRPr="00DA5E4D">
        <w:rPr>
          <w:rFonts w:cstheme="minorHAnsi"/>
          <w:b/>
          <w:lang w:val="en-GB"/>
        </w:rPr>
        <w:t>P</w:t>
      </w:r>
      <w:r w:rsidR="006D3C5B" w:rsidRPr="00DA5E4D">
        <w:rPr>
          <w:rFonts w:cstheme="minorHAnsi"/>
          <w:b/>
          <w:lang w:val="en-GB"/>
        </w:rPr>
        <w:t>ilot experience</w:t>
      </w:r>
    </w:p>
    <w:p w14:paraId="3762D018" w14:textId="77777777" w:rsidR="005E4EBB" w:rsidRPr="00DA5E4D" w:rsidRDefault="005E4EBB" w:rsidP="00997774">
      <w:pPr>
        <w:spacing w:line="360" w:lineRule="auto"/>
        <w:rPr>
          <w:rFonts w:cstheme="minorHAnsi"/>
          <w:i/>
          <w:lang w:val="en-GB"/>
        </w:rPr>
      </w:pPr>
      <w:r>
        <w:rPr>
          <w:rFonts w:cstheme="minorHAnsi"/>
          <w:i/>
          <w:lang w:val="en-GB"/>
        </w:rPr>
        <w:t>2.1. I</w:t>
      </w:r>
      <w:r w:rsidR="00B51711" w:rsidRPr="008D04B1">
        <w:rPr>
          <w:rFonts w:cstheme="minorHAnsi"/>
          <w:i/>
          <w:lang w:val="en-GB"/>
        </w:rPr>
        <w:t xml:space="preserve">s there </w:t>
      </w:r>
      <w:r w:rsidR="00B904E2" w:rsidRPr="008D04B1">
        <w:rPr>
          <w:rFonts w:cstheme="minorHAnsi"/>
          <w:i/>
          <w:lang w:val="en-GB"/>
        </w:rPr>
        <w:t xml:space="preserve">likely to be </w:t>
      </w:r>
      <w:r w:rsidR="006D3C5B" w:rsidRPr="008D04B1">
        <w:rPr>
          <w:rFonts w:cstheme="minorHAnsi"/>
          <w:i/>
          <w:lang w:val="en-GB"/>
        </w:rPr>
        <w:t xml:space="preserve">demand for </w:t>
      </w:r>
      <w:r w:rsidR="00A216DA" w:rsidRPr="008D04B1">
        <w:rPr>
          <w:rFonts w:cstheme="minorHAnsi"/>
          <w:i/>
          <w:lang w:val="en-GB"/>
        </w:rPr>
        <w:t>out-of-</w:t>
      </w:r>
      <w:r w:rsidR="006D3C5B" w:rsidRPr="008D04B1">
        <w:rPr>
          <w:rFonts w:cstheme="minorHAnsi"/>
          <w:i/>
          <w:lang w:val="en-GB"/>
        </w:rPr>
        <w:t>area registration</w:t>
      </w:r>
    </w:p>
    <w:p w14:paraId="64D5F0CC" w14:textId="1346CA66" w:rsidR="00B31C97" w:rsidRPr="008D04B1" w:rsidRDefault="000A67CE" w:rsidP="00997774">
      <w:pPr>
        <w:spacing w:line="360" w:lineRule="auto"/>
        <w:rPr>
          <w:rFonts w:cstheme="minorHAnsi"/>
          <w:lang w:val="en-GB"/>
        </w:rPr>
      </w:pPr>
      <w:r w:rsidRPr="008D04B1">
        <w:rPr>
          <w:rFonts w:cstheme="minorHAnsi"/>
        </w:rPr>
        <w:t xml:space="preserve">Due the </w:t>
      </w:r>
      <w:r w:rsidR="00226ED0" w:rsidRPr="008D04B1">
        <w:rPr>
          <w:rFonts w:cstheme="minorHAnsi"/>
        </w:rPr>
        <w:t xml:space="preserve">Pilot’s </w:t>
      </w:r>
      <w:r w:rsidRPr="008D04B1">
        <w:rPr>
          <w:rFonts w:cstheme="minorHAnsi"/>
        </w:rPr>
        <w:t>short duration</w:t>
      </w:r>
      <w:r w:rsidR="00226ED0" w:rsidRPr="008D04B1">
        <w:rPr>
          <w:rFonts w:cstheme="minorHAnsi"/>
        </w:rPr>
        <w:t>,</w:t>
      </w:r>
      <w:r w:rsidRPr="008D04B1">
        <w:rPr>
          <w:rFonts w:cstheme="minorHAnsi"/>
        </w:rPr>
        <w:t xml:space="preserve"> small scale </w:t>
      </w:r>
      <w:r w:rsidR="00226ED0" w:rsidRPr="008D04B1">
        <w:rPr>
          <w:rFonts w:cstheme="minorHAnsi"/>
          <w:lang w:val="en-GB"/>
        </w:rPr>
        <w:t xml:space="preserve">and concentration in </w:t>
      </w:r>
      <w:r w:rsidR="00126188">
        <w:rPr>
          <w:rFonts w:cstheme="minorHAnsi"/>
          <w:lang w:val="en-GB"/>
        </w:rPr>
        <w:t>one</w:t>
      </w:r>
      <w:r w:rsidR="00226ED0" w:rsidRPr="008D04B1">
        <w:rPr>
          <w:rFonts w:cstheme="minorHAnsi"/>
          <w:lang w:val="en-GB"/>
        </w:rPr>
        <w:t xml:space="preserve"> area</w:t>
      </w:r>
      <w:r w:rsidR="00126188">
        <w:rPr>
          <w:rFonts w:cstheme="minorHAnsi"/>
          <w:lang w:val="en-GB"/>
        </w:rPr>
        <w:t>, namely Westminster</w:t>
      </w:r>
      <w:r w:rsidR="00226ED0" w:rsidRPr="008D04B1">
        <w:rPr>
          <w:rFonts w:cstheme="minorHAnsi"/>
          <w:lang w:val="en-GB"/>
        </w:rPr>
        <w:t xml:space="preserve"> (Westminster</w:t>
      </w:r>
      <w:r w:rsidR="00126188">
        <w:rPr>
          <w:rFonts w:cstheme="minorHAnsi"/>
          <w:lang w:val="en-GB"/>
        </w:rPr>
        <w:t xml:space="preserve"> PCT</w:t>
      </w:r>
      <w:r w:rsidR="002A61F3">
        <w:rPr>
          <w:rFonts w:cstheme="minorHAnsi"/>
          <w:lang w:val="en-GB"/>
        </w:rPr>
        <w:t xml:space="preserve"> </w:t>
      </w:r>
      <w:r w:rsidR="00B15D15">
        <w:rPr>
          <w:rFonts w:cstheme="minorHAnsi"/>
          <w:lang w:val="en-GB"/>
        </w:rPr>
        <w:t>accounted for over two-thirds of participating patients</w:t>
      </w:r>
      <w:r w:rsidR="00126188">
        <w:rPr>
          <w:rFonts w:cstheme="minorHAnsi"/>
          <w:lang w:val="en-GB"/>
        </w:rPr>
        <w:t>, though t</w:t>
      </w:r>
      <w:r w:rsidR="00B15D15">
        <w:rPr>
          <w:rFonts w:cstheme="minorHAnsi"/>
          <w:lang w:val="en-GB"/>
        </w:rPr>
        <w:t xml:space="preserve">his was unsurprising as it </w:t>
      </w:r>
      <w:r w:rsidR="002A61F3">
        <w:rPr>
          <w:rFonts w:cstheme="minorHAnsi"/>
          <w:lang w:val="en-GB"/>
        </w:rPr>
        <w:t xml:space="preserve">is a dense urban area with </w:t>
      </w:r>
      <w:r w:rsidR="00126188">
        <w:rPr>
          <w:rFonts w:cstheme="minorHAnsi"/>
          <w:lang w:val="en-GB"/>
        </w:rPr>
        <w:t>tightly drawn</w:t>
      </w:r>
      <w:r w:rsidR="002A61F3">
        <w:rPr>
          <w:rFonts w:cstheme="minorHAnsi"/>
          <w:lang w:val="en-GB"/>
        </w:rPr>
        <w:t xml:space="preserve"> practice boundaries that</w:t>
      </w:r>
      <w:r w:rsidR="00126188">
        <w:rPr>
          <w:rFonts w:cstheme="minorHAnsi"/>
          <w:lang w:val="en-GB"/>
        </w:rPr>
        <w:t xml:space="preserve"> also</w:t>
      </w:r>
      <w:r w:rsidR="002A61F3">
        <w:rPr>
          <w:rFonts w:cstheme="minorHAnsi"/>
          <w:lang w:val="en-GB"/>
        </w:rPr>
        <w:t xml:space="preserve"> receives a large number of daily commuters relative to its resident population</w:t>
      </w:r>
      <w:r w:rsidR="00B519D6">
        <w:rPr>
          <w:rFonts w:cstheme="minorHAnsi"/>
          <w:lang w:val="en-GB"/>
        </w:rPr>
        <w:t>, in addition to temporary residents from other parts of the UK and abroad</w:t>
      </w:r>
      <w:r w:rsidR="00226ED0" w:rsidRPr="008D04B1">
        <w:rPr>
          <w:rFonts w:cstheme="minorHAnsi"/>
          <w:lang w:val="en-GB"/>
        </w:rPr>
        <w:t xml:space="preserve">), </w:t>
      </w:r>
      <w:r w:rsidRPr="008D04B1">
        <w:rPr>
          <w:rFonts w:cstheme="minorHAnsi"/>
        </w:rPr>
        <w:t>it</w:t>
      </w:r>
      <w:r w:rsidR="00162451" w:rsidRPr="008D04B1">
        <w:rPr>
          <w:rFonts w:cstheme="minorHAnsi"/>
        </w:rPr>
        <w:t xml:space="preserve"> </w:t>
      </w:r>
      <w:r w:rsidR="00226ED0" w:rsidRPr="008D04B1">
        <w:rPr>
          <w:rFonts w:cstheme="minorHAnsi"/>
        </w:rPr>
        <w:t xml:space="preserve">is </w:t>
      </w:r>
      <w:r w:rsidR="000909E6">
        <w:rPr>
          <w:rFonts w:cstheme="minorHAnsi"/>
        </w:rPr>
        <w:t xml:space="preserve"> not </w:t>
      </w:r>
      <w:r w:rsidRPr="008D04B1">
        <w:rPr>
          <w:rFonts w:cstheme="minorHAnsi"/>
        </w:rPr>
        <w:t>possible to predict the scale of participation and patterns of service use once the policy is rolled out</w:t>
      </w:r>
      <w:r w:rsidR="00226ED0" w:rsidRPr="008D04B1">
        <w:rPr>
          <w:rFonts w:cstheme="minorHAnsi"/>
        </w:rPr>
        <w:t xml:space="preserve"> nationally</w:t>
      </w:r>
      <w:r w:rsidR="00126188">
        <w:rPr>
          <w:rFonts w:cstheme="minorHAnsi"/>
        </w:rPr>
        <w:t xml:space="preserve"> directly from the Pilot</w:t>
      </w:r>
      <w:r w:rsidRPr="008D04B1">
        <w:rPr>
          <w:rFonts w:cstheme="minorHAnsi"/>
        </w:rPr>
        <w:t xml:space="preserve">.  </w:t>
      </w:r>
      <w:r w:rsidR="00126188">
        <w:rPr>
          <w:rFonts w:cstheme="minorHAnsi"/>
        </w:rPr>
        <w:t xml:space="preserve">However, </w:t>
      </w:r>
      <w:r w:rsidR="00126188">
        <w:rPr>
          <w:rFonts w:cstheme="minorHAnsi"/>
          <w:lang w:val="en-GB"/>
        </w:rPr>
        <w:t>t</w:t>
      </w:r>
      <w:r w:rsidR="00F248F5" w:rsidRPr="008D04B1">
        <w:rPr>
          <w:rFonts w:cstheme="minorHAnsi"/>
          <w:lang w:val="en-GB"/>
        </w:rPr>
        <w:t xml:space="preserve">he evaluation included </w:t>
      </w:r>
      <w:r w:rsidR="00BE1AFC" w:rsidRPr="008D04B1">
        <w:rPr>
          <w:rFonts w:cstheme="minorHAnsi"/>
          <w:lang w:val="en-GB"/>
        </w:rPr>
        <w:t>a</w:t>
      </w:r>
      <w:r w:rsidR="009741C4" w:rsidRPr="008D04B1">
        <w:rPr>
          <w:rFonts w:cstheme="minorHAnsi"/>
          <w:lang w:val="en-GB"/>
        </w:rPr>
        <w:t xml:space="preserve"> Discrete Choice Experiment (</w:t>
      </w:r>
      <w:r w:rsidR="00A11A14" w:rsidRPr="008D04B1">
        <w:rPr>
          <w:rFonts w:cstheme="minorHAnsi"/>
          <w:lang w:val="en-GB"/>
        </w:rPr>
        <w:t>DCE</w:t>
      </w:r>
      <w:r w:rsidR="009741C4" w:rsidRPr="008D04B1">
        <w:rPr>
          <w:rFonts w:cstheme="minorHAnsi"/>
          <w:lang w:val="en-GB"/>
        </w:rPr>
        <w:t>)</w:t>
      </w:r>
      <w:r w:rsidR="00F248F5" w:rsidRPr="008D04B1">
        <w:rPr>
          <w:rFonts w:cstheme="minorHAnsi"/>
          <w:lang w:val="en-GB"/>
        </w:rPr>
        <w:t xml:space="preserve"> that aimed </w:t>
      </w:r>
      <w:r w:rsidR="009741C4" w:rsidRPr="008D04B1">
        <w:rPr>
          <w:rFonts w:cstheme="minorHAnsi"/>
          <w:lang w:val="en-GB"/>
        </w:rPr>
        <w:t>to understand the preferences of the general population in relation to different ways of accessing G</w:t>
      </w:r>
      <w:r w:rsidR="00104A42" w:rsidRPr="008D04B1">
        <w:rPr>
          <w:rFonts w:cstheme="minorHAnsi"/>
          <w:lang w:val="en-GB"/>
        </w:rPr>
        <w:t>P services.</w:t>
      </w:r>
      <w:r w:rsidR="002F4D86" w:rsidRPr="008D04B1">
        <w:rPr>
          <w:rFonts w:cstheme="minorHAnsi"/>
          <w:lang w:val="en-GB"/>
        </w:rPr>
        <w:t xml:space="preserve"> </w:t>
      </w:r>
      <w:r w:rsidR="00104A42" w:rsidRPr="008D04B1">
        <w:rPr>
          <w:rFonts w:cstheme="minorHAnsi"/>
          <w:lang w:val="en-GB"/>
        </w:rPr>
        <w:t>The DCE</w:t>
      </w:r>
      <w:r w:rsidR="00B51711" w:rsidRPr="008D04B1">
        <w:rPr>
          <w:rFonts w:cstheme="minorHAnsi"/>
          <w:lang w:val="en-GB"/>
        </w:rPr>
        <w:t xml:space="preserve"> </w:t>
      </w:r>
      <w:r w:rsidR="00A216DA" w:rsidRPr="008D04B1">
        <w:rPr>
          <w:rFonts w:cstheme="minorHAnsi"/>
          <w:lang w:val="en-GB"/>
        </w:rPr>
        <w:t xml:space="preserve">proposed a choice of </w:t>
      </w:r>
      <w:r w:rsidR="00B51711" w:rsidRPr="008D04B1">
        <w:rPr>
          <w:rFonts w:cstheme="minorHAnsi"/>
          <w:lang w:val="en-GB"/>
        </w:rPr>
        <w:t>‘</w:t>
      </w:r>
      <w:r w:rsidR="009741C4" w:rsidRPr="008D04B1">
        <w:rPr>
          <w:rFonts w:cstheme="minorHAnsi"/>
          <w:lang w:val="en-GB"/>
        </w:rPr>
        <w:t>local</w:t>
      </w:r>
      <w:r w:rsidR="00B51711" w:rsidRPr="008D04B1">
        <w:rPr>
          <w:rFonts w:cstheme="minorHAnsi"/>
          <w:lang w:val="en-GB"/>
        </w:rPr>
        <w:t>’</w:t>
      </w:r>
      <w:r w:rsidR="009741C4" w:rsidRPr="008D04B1">
        <w:rPr>
          <w:rFonts w:cstheme="minorHAnsi"/>
          <w:lang w:val="en-GB"/>
        </w:rPr>
        <w:t xml:space="preserve"> v</w:t>
      </w:r>
      <w:r w:rsidR="00F64375" w:rsidRPr="008D04B1">
        <w:rPr>
          <w:rFonts w:cstheme="minorHAnsi"/>
          <w:lang w:val="en-GB"/>
        </w:rPr>
        <w:t xml:space="preserve">ersus </w:t>
      </w:r>
      <w:r w:rsidR="00B51711" w:rsidRPr="008D04B1">
        <w:rPr>
          <w:rFonts w:cstheme="minorHAnsi"/>
          <w:lang w:val="en-GB"/>
        </w:rPr>
        <w:t>‘</w:t>
      </w:r>
      <w:r w:rsidR="00F64375" w:rsidRPr="008D04B1">
        <w:rPr>
          <w:rFonts w:cstheme="minorHAnsi"/>
          <w:lang w:val="en-GB"/>
        </w:rPr>
        <w:t>out of area</w:t>
      </w:r>
      <w:r w:rsidR="00B51711" w:rsidRPr="008D04B1">
        <w:rPr>
          <w:rFonts w:cstheme="minorHAnsi"/>
          <w:lang w:val="en-GB"/>
        </w:rPr>
        <w:t>’</w:t>
      </w:r>
      <w:r w:rsidR="00F64375" w:rsidRPr="008D04B1">
        <w:rPr>
          <w:rFonts w:cstheme="minorHAnsi"/>
          <w:lang w:val="en-GB"/>
        </w:rPr>
        <w:t xml:space="preserve"> registration and found</w:t>
      </w:r>
      <w:r w:rsidR="009741C4" w:rsidRPr="008D04B1">
        <w:rPr>
          <w:rFonts w:cstheme="minorHAnsi"/>
          <w:lang w:val="en-GB"/>
        </w:rPr>
        <w:t xml:space="preserve"> some appetite for </w:t>
      </w:r>
      <w:r w:rsidR="00A216DA" w:rsidRPr="008D04B1">
        <w:rPr>
          <w:rFonts w:cstheme="minorHAnsi"/>
          <w:lang w:val="en-GB"/>
        </w:rPr>
        <w:t>out-</w:t>
      </w:r>
      <w:r w:rsidR="009741C4" w:rsidRPr="008D04B1">
        <w:rPr>
          <w:rFonts w:cstheme="minorHAnsi"/>
          <w:lang w:val="en-GB"/>
        </w:rPr>
        <w:t>of</w:t>
      </w:r>
      <w:r w:rsidR="00A216DA" w:rsidRPr="008D04B1">
        <w:rPr>
          <w:rFonts w:cstheme="minorHAnsi"/>
          <w:lang w:val="en-GB"/>
        </w:rPr>
        <w:t>-</w:t>
      </w:r>
      <w:r w:rsidR="009741C4" w:rsidRPr="008D04B1">
        <w:rPr>
          <w:rFonts w:cstheme="minorHAnsi"/>
          <w:lang w:val="en-GB"/>
        </w:rPr>
        <w:t>area registration</w:t>
      </w:r>
      <w:r w:rsidR="00162451" w:rsidRPr="008D04B1">
        <w:rPr>
          <w:rFonts w:cstheme="minorHAnsi"/>
          <w:lang w:val="en-GB"/>
        </w:rPr>
        <w:t xml:space="preserve"> among sub-groups of the population</w:t>
      </w:r>
      <w:r w:rsidR="00B90016" w:rsidRPr="008D04B1">
        <w:rPr>
          <w:rFonts w:cstheme="minorHAnsi"/>
          <w:lang w:val="en-GB"/>
        </w:rPr>
        <w:t xml:space="preserve">, </w:t>
      </w:r>
      <w:r w:rsidR="00B51711" w:rsidRPr="008D04B1">
        <w:rPr>
          <w:rFonts w:cstheme="minorHAnsi"/>
          <w:lang w:val="en-GB"/>
        </w:rPr>
        <w:t>as a way of obtaining</w:t>
      </w:r>
      <w:r w:rsidR="00162451" w:rsidRPr="008D04B1">
        <w:rPr>
          <w:rFonts w:cstheme="minorHAnsi"/>
          <w:lang w:val="en-GB"/>
        </w:rPr>
        <w:t xml:space="preserve"> more</w:t>
      </w:r>
      <w:r w:rsidR="00B90016" w:rsidRPr="008D04B1">
        <w:rPr>
          <w:rFonts w:cstheme="minorHAnsi"/>
          <w:lang w:val="en-GB"/>
        </w:rPr>
        <w:t xml:space="preserve"> convenient access to a GP</w:t>
      </w:r>
      <w:r w:rsidR="00B904E2" w:rsidRPr="008D04B1">
        <w:rPr>
          <w:rFonts w:cstheme="minorHAnsi"/>
          <w:lang w:val="en-GB"/>
        </w:rPr>
        <w:t xml:space="preserve"> (e.g. near a workplace)</w:t>
      </w:r>
      <w:r w:rsidR="00B51711" w:rsidRPr="008D04B1">
        <w:rPr>
          <w:rFonts w:cstheme="minorHAnsi"/>
          <w:lang w:val="en-GB"/>
        </w:rPr>
        <w:t xml:space="preserve"> in preference to</w:t>
      </w:r>
      <w:r w:rsidR="00B904E2" w:rsidRPr="008D04B1">
        <w:rPr>
          <w:rFonts w:cstheme="minorHAnsi"/>
          <w:lang w:val="en-GB"/>
        </w:rPr>
        <w:t xml:space="preserve"> the greater convenience of </w:t>
      </w:r>
      <w:r w:rsidR="00B31C97" w:rsidRPr="008D04B1">
        <w:rPr>
          <w:rFonts w:cstheme="minorHAnsi"/>
          <w:lang w:val="en-GB"/>
        </w:rPr>
        <w:t>e</w:t>
      </w:r>
      <w:r w:rsidR="00B90016" w:rsidRPr="008D04B1">
        <w:rPr>
          <w:rFonts w:cstheme="minorHAnsi"/>
          <w:lang w:val="en-GB"/>
        </w:rPr>
        <w:t>xtended</w:t>
      </w:r>
      <w:r w:rsidR="00B51711" w:rsidRPr="008D04B1">
        <w:rPr>
          <w:rFonts w:cstheme="minorHAnsi"/>
          <w:lang w:val="en-GB"/>
        </w:rPr>
        <w:t xml:space="preserve"> weekday</w:t>
      </w:r>
      <w:r w:rsidR="00B90016" w:rsidRPr="008D04B1">
        <w:rPr>
          <w:rFonts w:cstheme="minorHAnsi"/>
          <w:lang w:val="en-GB"/>
        </w:rPr>
        <w:t xml:space="preserve"> or weekend hours</w:t>
      </w:r>
      <w:r w:rsidR="00B31C97" w:rsidRPr="008D04B1">
        <w:rPr>
          <w:rFonts w:cstheme="minorHAnsi"/>
          <w:lang w:val="en-GB"/>
        </w:rPr>
        <w:t>,</w:t>
      </w:r>
      <w:r w:rsidR="00B90016" w:rsidRPr="008D04B1">
        <w:rPr>
          <w:rFonts w:cstheme="minorHAnsi"/>
          <w:lang w:val="en-GB"/>
        </w:rPr>
        <w:t xml:space="preserve"> or</w:t>
      </w:r>
      <w:r w:rsidR="00B904E2" w:rsidRPr="008D04B1">
        <w:rPr>
          <w:rFonts w:cstheme="minorHAnsi"/>
          <w:lang w:val="en-GB"/>
        </w:rPr>
        <w:t xml:space="preserve"> the benefit of</w:t>
      </w:r>
      <w:r w:rsidR="00B51711" w:rsidRPr="008D04B1">
        <w:rPr>
          <w:rFonts w:cstheme="minorHAnsi"/>
          <w:lang w:val="en-GB"/>
        </w:rPr>
        <w:t xml:space="preserve"> having</w:t>
      </w:r>
      <w:r w:rsidR="00B90016" w:rsidRPr="008D04B1">
        <w:rPr>
          <w:rFonts w:cstheme="minorHAnsi"/>
          <w:lang w:val="en-GB"/>
        </w:rPr>
        <w:t xml:space="preserve"> a </w:t>
      </w:r>
      <w:r w:rsidR="00B904E2" w:rsidRPr="008D04B1">
        <w:rPr>
          <w:rFonts w:cstheme="minorHAnsi"/>
          <w:lang w:val="en-GB"/>
        </w:rPr>
        <w:t>GP</w:t>
      </w:r>
      <w:r w:rsidR="00B90016" w:rsidRPr="008D04B1">
        <w:rPr>
          <w:rFonts w:cstheme="minorHAnsi"/>
          <w:lang w:val="en-GB"/>
        </w:rPr>
        <w:t xml:space="preserve"> familiar with</w:t>
      </w:r>
      <w:r w:rsidR="00B51711" w:rsidRPr="008D04B1">
        <w:rPr>
          <w:rFonts w:cstheme="minorHAnsi"/>
          <w:lang w:val="en-GB"/>
        </w:rPr>
        <w:t xml:space="preserve"> the</w:t>
      </w:r>
      <w:r w:rsidR="00B90016" w:rsidRPr="008D04B1">
        <w:rPr>
          <w:rFonts w:cstheme="minorHAnsi"/>
          <w:lang w:val="en-GB"/>
        </w:rPr>
        <w:t xml:space="preserve"> </w:t>
      </w:r>
      <w:r w:rsidR="00926EFB" w:rsidRPr="008D04B1">
        <w:rPr>
          <w:rFonts w:cstheme="minorHAnsi"/>
          <w:lang w:val="en-GB"/>
        </w:rPr>
        <w:t>health care services in the</w:t>
      </w:r>
      <w:r w:rsidR="00162451" w:rsidRPr="008D04B1">
        <w:rPr>
          <w:rFonts w:cstheme="minorHAnsi"/>
          <w:lang w:val="en-GB"/>
        </w:rPr>
        <w:t xml:space="preserve"> patient’s local</w:t>
      </w:r>
      <w:r w:rsidR="00926EFB" w:rsidRPr="008D04B1">
        <w:rPr>
          <w:rFonts w:cstheme="minorHAnsi"/>
          <w:lang w:val="en-GB"/>
        </w:rPr>
        <w:t xml:space="preserve"> area</w:t>
      </w:r>
      <w:r w:rsidR="00FE0424" w:rsidRPr="008D04B1">
        <w:rPr>
          <w:rFonts w:cstheme="minorHAnsi"/>
          <w:lang w:val="en-GB"/>
        </w:rPr>
        <w:t xml:space="preserve"> </w:t>
      </w:r>
      <w:r w:rsidR="00EF6E4D" w:rsidRPr="008D04B1">
        <w:rPr>
          <w:rFonts w:cstheme="minorHAnsi"/>
          <w:lang w:val="en-GB"/>
        </w:rPr>
        <w:fldChar w:fldCharType="begin"/>
      </w:r>
      <w:r w:rsidR="00A4727D">
        <w:rPr>
          <w:rFonts w:cstheme="minorHAnsi"/>
          <w:lang w:val="en-GB"/>
        </w:rPr>
        <w:instrText xml:space="preserve"> ADDIN EN.CITE &lt;EndNote&gt;&lt;Cite&gt;&lt;Author&gt;Lagarde&lt;/Author&gt;&lt;Year&gt;Submitted for publication and under review&lt;/Year&gt;&lt;RecNum&gt;68&lt;/RecNum&gt;&lt;DisplayText&gt;(10)&lt;/DisplayText&gt;&lt;record&gt;&lt;rec-number&gt;68&lt;/rec-number&gt;&lt;foreign-keys&gt;&lt;key app="EN" db-id="ptdswpda0va5vqe5pzg5w50lf0txassaw0zx"&gt;68&lt;/key&gt;&lt;/foreign-keys&gt;&lt;ref-type name="Journal Article"&gt;17&lt;/ref-type&gt;&lt;contributors&gt;&lt;authors&gt;&lt;author&gt;Lagarde, M&lt;/author&gt;&lt;author&gt;Erens, B&lt;/author&gt;&lt;author&gt;Mays, Nicholas&lt;/author&gt;&lt;/authors&gt;&lt;/contributors&gt;&lt;titles&gt;&lt;title&gt;Preferences for GP practice in England: evidence from a Discrete Choice Experiment&lt;/title&gt;&lt;/titles&gt;&lt;dates&gt;&lt;year&gt;Submitted for publication and under review&lt;/year&gt;&lt;/dates&gt;&lt;urls&gt;&lt;/urls&gt;&lt;/record&gt;&lt;/Cite&gt;&lt;/EndNote&gt;</w:instrText>
      </w:r>
      <w:r w:rsidR="00EF6E4D" w:rsidRPr="008D04B1">
        <w:rPr>
          <w:rFonts w:cstheme="minorHAnsi"/>
          <w:lang w:val="en-GB"/>
        </w:rPr>
        <w:fldChar w:fldCharType="separate"/>
      </w:r>
      <w:r w:rsidR="00A4727D">
        <w:rPr>
          <w:rFonts w:cstheme="minorHAnsi"/>
          <w:noProof/>
          <w:lang w:val="en-GB"/>
        </w:rPr>
        <w:t>(</w:t>
      </w:r>
      <w:hyperlink w:anchor="_ENREF_10" w:tooltip="Lagarde, Submitted for publication and under review #68" w:history="1">
        <w:r w:rsidR="00A4727D">
          <w:rPr>
            <w:rFonts w:cstheme="minorHAnsi"/>
            <w:noProof/>
            <w:lang w:val="en-GB"/>
          </w:rPr>
          <w:t>10</w:t>
        </w:r>
      </w:hyperlink>
      <w:r w:rsidR="00A4727D">
        <w:rPr>
          <w:rFonts w:cstheme="minorHAnsi"/>
          <w:noProof/>
          <w:lang w:val="en-GB"/>
        </w:rPr>
        <w:t>)</w:t>
      </w:r>
      <w:r w:rsidR="00EF6E4D" w:rsidRPr="008D04B1">
        <w:rPr>
          <w:rFonts w:cstheme="minorHAnsi"/>
          <w:lang w:val="en-GB"/>
        </w:rPr>
        <w:fldChar w:fldCharType="end"/>
      </w:r>
      <w:r w:rsidR="00921C62" w:rsidRPr="008D04B1">
        <w:rPr>
          <w:rFonts w:cstheme="minorHAnsi"/>
          <w:lang w:val="en-GB"/>
        </w:rPr>
        <w:t>.</w:t>
      </w:r>
      <w:r w:rsidR="00B31C97" w:rsidRPr="008D04B1">
        <w:rPr>
          <w:rFonts w:cstheme="minorHAnsi"/>
          <w:lang w:val="en-GB"/>
        </w:rPr>
        <w:t xml:space="preserve"> </w:t>
      </w:r>
    </w:p>
    <w:p w14:paraId="7E83B845" w14:textId="77777777" w:rsidR="00027F8B" w:rsidRPr="008D04B1" w:rsidRDefault="00027F8B" w:rsidP="001934AA">
      <w:pPr>
        <w:spacing w:line="360" w:lineRule="auto"/>
        <w:rPr>
          <w:rFonts w:cstheme="minorHAnsi"/>
          <w:lang w:val="en-GB"/>
        </w:rPr>
      </w:pPr>
    </w:p>
    <w:p w14:paraId="1E411A11" w14:textId="77777777" w:rsidR="002D1EF4" w:rsidRPr="00DA5E4D" w:rsidRDefault="00F776C3" w:rsidP="00DA5E4D">
      <w:pPr>
        <w:pStyle w:val="ListParagraph"/>
        <w:numPr>
          <w:ilvl w:val="1"/>
          <w:numId w:val="13"/>
        </w:numPr>
        <w:spacing w:line="360" w:lineRule="auto"/>
        <w:rPr>
          <w:rFonts w:cstheme="minorHAnsi"/>
          <w:i/>
          <w:lang w:val="en-GB"/>
        </w:rPr>
      </w:pPr>
      <w:r w:rsidRPr="00DA5E4D">
        <w:rPr>
          <w:rFonts w:cstheme="minorHAnsi"/>
          <w:i/>
          <w:lang w:val="en-GB"/>
        </w:rPr>
        <w:t>Is</w:t>
      </w:r>
      <w:r w:rsidR="00116F1E" w:rsidRPr="00DA5E4D">
        <w:rPr>
          <w:rFonts w:cstheme="minorHAnsi"/>
          <w:i/>
          <w:lang w:val="en-GB"/>
        </w:rPr>
        <w:t xml:space="preserve"> </w:t>
      </w:r>
      <w:r w:rsidR="00A216DA" w:rsidRPr="00DA5E4D">
        <w:rPr>
          <w:rFonts w:cstheme="minorHAnsi"/>
          <w:i/>
          <w:lang w:val="en-GB"/>
        </w:rPr>
        <w:t xml:space="preserve">out-of-area </w:t>
      </w:r>
      <w:r w:rsidR="00116F1E" w:rsidRPr="00DA5E4D">
        <w:rPr>
          <w:rFonts w:cstheme="minorHAnsi"/>
          <w:i/>
          <w:lang w:val="en-GB"/>
        </w:rPr>
        <w:t>registration</w:t>
      </w:r>
      <w:r w:rsidRPr="00DA5E4D">
        <w:rPr>
          <w:rFonts w:cstheme="minorHAnsi"/>
          <w:i/>
          <w:lang w:val="en-GB"/>
        </w:rPr>
        <w:t xml:space="preserve"> likely to</w:t>
      </w:r>
      <w:r w:rsidR="00116F1E" w:rsidRPr="00DA5E4D">
        <w:rPr>
          <w:rFonts w:cstheme="minorHAnsi"/>
          <w:i/>
          <w:lang w:val="en-GB"/>
        </w:rPr>
        <w:t xml:space="preserve"> improve</w:t>
      </w:r>
      <w:r w:rsidR="00536EC9" w:rsidRPr="00DA5E4D">
        <w:rPr>
          <w:rFonts w:cstheme="minorHAnsi"/>
          <w:i/>
          <w:lang w:val="en-GB"/>
        </w:rPr>
        <w:t xml:space="preserve"> patient experience and</w:t>
      </w:r>
      <w:r w:rsidRPr="00DA5E4D">
        <w:rPr>
          <w:rFonts w:cstheme="minorHAnsi"/>
          <w:i/>
          <w:lang w:val="en-GB"/>
        </w:rPr>
        <w:t xml:space="preserve"> service</w:t>
      </w:r>
      <w:r w:rsidR="00116F1E" w:rsidRPr="00DA5E4D">
        <w:rPr>
          <w:rFonts w:cstheme="minorHAnsi"/>
          <w:i/>
          <w:lang w:val="en-GB"/>
        </w:rPr>
        <w:t xml:space="preserve"> responsiveness?</w:t>
      </w:r>
    </w:p>
    <w:p w14:paraId="4291C056" w14:textId="77777777" w:rsidR="00CC533B" w:rsidRPr="008D04B1" w:rsidRDefault="00F776C3" w:rsidP="00CC533B">
      <w:pPr>
        <w:spacing w:line="360" w:lineRule="auto"/>
        <w:rPr>
          <w:rFonts w:cstheme="minorHAnsi"/>
          <w:lang w:val="en-GB"/>
        </w:rPr>
      </w:pPr>
      <w:r w:rsidRPr="008D04B1">
        <w:rPr>
          <w:rFonts w:cstheme="minorHAnsi"/>
          <w:lang w:val="en-GB"/>
        </w:rPr>
        <w:lastRenderedPageBreak/>
        <w:t>P</w:t>
      </w:r>
      <w:r w:rsidR="00B963A7" w:rsidRPr="008D04B1">
        <w:rPr>
          <w:rFonts w:cstheme="minorHAnsi"/>
          <w:lang w:val="en-GB"/>
        </w:rPr>
        <w:t>ilot patient</w:t>
      </w:r>
      <w:r w:rsidR="00BB0159" w:rsidRPr="008D04B1">
        <w:rPr>
          <w:rFonts w:cstheme="minorHAnsi"/>
          <w:lang w:val="en-GB"/>
        </w:rPr>
        <w:t>s</w:t>
      </w:r>
      <w:r w:rsidR="00B963A7" w:rsidRPr="008D04B1">
        <w:rPr>
          <w:rFonts w:cstheme="minorHAnsi"/>
          <w:lang w:val="en-GB"/>
        </w:rPr>
        <w:t xml:space="preserve"> </w:t>
      </w:r>
      <w:r w:rsidR="001571B9" w:rsidRPr="008D04B1">
        <w:rPr>
          <w:rFonts w:cstheme="minorHAnsi"/>
          <w:lang w:val="en-GB"/>
        </w:rPr>
        <w:t xml:space="preserve">considered it a </w:t>
      </w:r>
      <w:r w:rsidR="00C51CFF" w:rsidRPr="008D04B1">
        <w:rPr>
          <w:rFonts w:cstheme="minorHAnsi"/>
          <w:lang w:val="en-GB"/>
        </w:rPr>
        <w:t xml:space="preserve">convenient scheme, </w:t>
      </w:r>
      <w:r w:rsidR="00B963A7" w:rsidRPr="008D04B1">
        <w:rPr>
          <w:rFonts w:cstheme="minorHAnsi"/>
          <w:lang w:val="en-GB"/>
        </w:rPr>
        <w:t>were</w:t>
      </w:r>
      <w:r w:rsidR="00C51CFF" w:rsidRPr="008D04B1">
        <w:rPr>
          <w:rFonts w:cstheme="minorHAnsi"/>
          <w:lang w:val="en-GB"/>
        </w:rPr>
        <w:t xml:space="preserve"> very satisfied with their experiences</w:t>
      </w:r>
      <w:r w:rsidRPr="008D04B1">
        <w:rPr>
          <w:rFonts w:cstheme="minorHAnsi"/>
          <w:lang w:val="en-GB"/>
        </w:rPr>
        <w:t xml:space="preserve"> of</w:t>
      </w:r>
      <w:r w:rsidR="00C51CFF" w:rsidRPr="008D04B1">
        <w:rPr>
          <w:rFonts w:cstheme="minorHAnsi"/>
          <w:lang w:val="en-GB"/>
        </w:rPr>
        <w:t xml:space="preserve"> pilot</w:t>
      </w:r>
      <w:r w:rsidRPr="008D04B1">
        <w:rPr>
          <w:rFonts w:cstheme="minorHAnsi"/>
          <w:lang w:val="en-GB"/>
        </w:rPr>
        <w:t xml:space="preserve"> practices</w:t>
      </w:r>
      <w:r w:rsidR="003851DD" w:rsidRPr="008D04B1">
        <w:rPr>
          <w:rFonts w:cstheme="minorHAnsi"/>
          <w:lang w:val="en-GB"/>
        </w:rPr>
        <w:t xml:space="preserve"> and eager for it to continue.</w:t>
      </w:r>
      <w:r w:rsidR="008D6ED1" w:rsidRPr="008D04B1">
        <w:rPr>
          <w:rFonts w:cstheme="minorHAnsi"/>
          <w:lang w:val="en-GB"/>
        </w:rPr>
        <w:t xml:space="preserve"> </w:t>
      </w:r>
      <w:r w:rsidR="00393BF9" w:rsidRPr="008D04B1">
        <w:rPr>
          <w:rFonts w:cstheme="minorHAnsi"/>
          <w:lang w:val="en-GB"/>
        </w:rPr>
        <w:t>They</w:t>
      </w:r>
      <w:r w:rsidR="002E0858" w:rsidRPr="008D04B1">
        <w:rPr>
          <w:rFonts w:cstheme="minorHAnsi"/>
          <w:lang w:val="en-GB"/>
        </w:rPr>
        <w:t xml:space="preserve"> were as</w:t>
      </w:r>
      <w:r w:rsidR="00CC533B" w:rsidRPr="008D04B1">
        <w:rPr>
          <w:rFonts w:cstheme="minorHAnsi"/>
          <w:lang w:val="en-GB"/>
        </w:rPr>
        <w:t xml:space="preserve"> likely to describe their last GP visit as ‘very good’ </w:t>
      </w:r>
      <w:r w:rsidR="002E0858" w:rsidRPr="008D04B1">
        <w:rPr>
          <w:rFonts w:cstheme="minorHAnsi"/>
          <w:lang w:val="en-GB"/>
        </w:rPr>
        <w:t>as</w:t>
      </w:r>
      <w:r w:rsidR="00CC533B" w:rsidRPr="008D04B1">
        <w:rPr>
          <w:rFonts w:cstheme="minorHAnsi"/>
          <w:lang w:val="en-GB"/>
        </w:rPr>
        <w:t xml:space="preserve"> other patients in the same practice, same PCT and the rest of England</w:t>
      </w:r>
      <w:r w:rsidR="00536EC9" w:rsidRPr="008D04B1">
        <w:rPr>
          <w:rFonts w:cstheme="minorHAnsi"/>
          <w:lang w:val="en-GB"/>
        </w:rPr>
        <w:t>.</w:t>
      </w:r>
      <w:r w:rsidR="00177402" w:rsidRPr="008D04B1">
        <w:rPr>
          <w:rFonts w:cstheme="minorHAnsi"/>
          <w:lang w:val="en-GB"/>
        </w:rPr>
        <w:t xml:space="preserve"> </w:t>
      </w:r>
      <w:r w:rsidR="00CC533B" w:rsidRPr="008D04B1">
        <w:rPr>
          <w:rFonts w:cstheme="minorHAnsi"/>
          <w:lang w:val="en-GB"/>
        </w:rPr>
        <w:t xml:space="preserve"> </w:t>
      </w:r>
      <w:r w:rsidR="00536EC9" w:rsidRPr="008D04B1">
        <w:rPr>
          <w:rFonts w:cstheme="minorHAnsi"/>
          <w:lang w:val="en-GB"/>
        </w:rPr>
        <w:t xml:space="preserve"> </w:t>
      </w:r>
      <w:r w:rsidR="00393BF9" w:rsidRPr="008D04B1">
        <w:rPr>
          <w:rFonts w:cstheme="minorHAnsi"/>
          <w:lang w:val="en-GB"/>
        </w:rPr>
        <w:t xml:space="preserve">This was </w:t>
      </w:r>
      <w:r w:rsidR="00CC533B" w:rsidRPr="008D04B1">
        <w:rPr>
          <w:rFonts w:cstheme="minorHAnsi"/>
          <w:lang w:val="en-GB"/>
        </w:rPr>
        <w:t>despi</w:t>
      </w:r>
      <w:r w:rsidR="00177402" w:rsidRPr="008D04B1">
        <w:rPr>
          <w:rFonts w:cstheme="minorHAnsi"/>
          <w:lang w:val="en-GB"/>
        </w:rPr>
        <w:t>te the fact that they were younger, more likely to be in paid work and had better self-reported health than other patients</w:t>
      </w:r>
      <w:r w:rsidR="002E0858" w:rsidRPr="008D04B1">
        <w:rPr>
          <w:rFonts w:cstheme="minorHAnsi"/>
          <w:lang w:val="en-GB"/>
        </w:rPr>
        <w:t xml:space="preserve"> – all characteristics known to be associated with lower than average levels of satisfaction</w:t>
      </w:r>
      <w:r w:rsidR="00CC533B" w:rsidRPr="008D04B1">
        <w:rPr>
          <w:rFonts w:cstheme="minorHAnsi"/>
          <w:lang w:val="en-GB"/>
        </w:rPr>
        <w:t xml:space="preserve"> </w:t>
      </w:r>
      <w:r w:rsidR="00EF6E4D" w:rsidRPr="008D04B1">
        <w:rPr>
          <w:rFonts w:cstheme="minorHAnsi"/>
          <w:lang w:val="en-GB"/>
        </w:rPr>
        <w:fldChar w:fldCharType="begin"/>
      </w:r>
      <w:r w:rsidR="00A4727D">
        <w:rPr>
          <w:rFonts w:cstheme="minorHAnsi"/>
          <w:lang w:val="en-GB"/>
        </w:rPr>
        <w:instrText xml:space="preserve"> ADDIN EN.CITE &lt;EndNote&gt;&lt;Cite&gt;&lt;Author&gt;Kontopantelis&lt;/Author&gt;&lt;Year&gt;2010&lt;/Year&gt;&lt;RecNum&gt;60&lt;/RecNum&gt;&lt;DisplayText&gt;(11)&lt;/DisplayText&gt;&lt;record&gt;&lt;rec-number&gt;60&lt;/rec-number&gt;&lt;foreign-keys&gt;&lt;key app="EN" db-id="ptdswpda0va5vqe5pzg5w50lf0txassaw0zx"&gt;60&lt;/key&gt;&lt;/foreign-keys&gt;&lt;ref-type name="Journal Article"&gt;17&lt;/ref-type&gt;&lt;contributors&gt;&lt;authors&gt;&lt;author&gt;Kontopantelis, Evangelos&lt;/author&gt;&lt;author&gt;Roland, Martin&lt;/author&gt;&lt;author&gt;Reeves, David&lt;/author&gt;&lt;/authors&gt;&lt;/contributors&gt;&lt;titles&gt;&lt;title&gt;Patient experience of access to primary care: identification of predictors in a national patient survey&lt;/title&gt;&lt;secondary-title&gt;BMC family practice&lt;/secondary-title&gt;&lt;/titles&gt;&lt;periodical&gt;&lt;full-title&gt;BMC family practice&lt;/full-title&gt;&lt;/periodical&gt;&lt;pages&gt;61&lt;/pages&gt;&lt;volume&gt;11&lt;/volume&gt;&lt;number&gt;1&lt;/number&gt;&lt;dates&gt;&lt;year&gt;2010&lt;/year&gt;&lt;/dates&gt;&lt;isbn&gt;1471-2296&lt;/isbn&gt;&lt;urls&gt;&lt;related-urls&gt;&lt;url&gt;http://www.biomedcentral.com/content/pdf/1471-2296-11-61.pdf&lt;/url&gt;&lt;/related-urls&gt;&lt;/urls&gt;&lt;/record&gt;&lt;/Cite&gt;&lt;Cite&gt;&lt;Author&gt;Kontopantelis&lt;/Author&gt;&lt;Year&gt;2010&lt;/Year&gt;&lt;RecNum&gt;60&lt;/RecNum&gt;&lt;record&gt;&lt;rec-number&gt;60&lt;/rec-number&gt;&lt;foreign-keys&gt;&lt;key app="EN" db-id="ptdswpda0va5vqe5pzg5w50lf0txassaw0zx"&gt;60&lt;/key&gt;&lt;/foreign-keys&gt;&lt;ref-type name="Journal Article"&gt;17&lt;/ref-type&gt;&lt;contributors&gt;&lt;authors&gt;&lt;author&gt;Kontopantelis, Evangelos&lt;/author&gt;&lt;author&gt;Roland, Martin&lt;/author&gt;&lt;author&gt;Reeves, David&lt;/author&gt;&lt;/authors&gt;&lt;/contributors&gt;&lt;titles&gt;&lt;title&gt;Patient experience of access to primary care: identification of predictors in a national patient survey&lt;/title&gt;&lt;secondary-title&gt;BMC family practice&lt;/secondary-title&gt;&lt;/titles&gt;&lt;periodical&gt;&lt;full-title&gt;BMC family practice&lt;/full-title&gt;&lt;/periodical&gt;&lt;pages&gt;61&lt;/pages&gt;&lt;volume&gt;11&lt;/volume&gt;&lt;number&gt;1&lt;/number&gt;&lt;dates&gt;&lt;year&gt;2010&lt;/year&gt;&lt;/dates&gt;&lt;isbn&gt;1471-2296&lt;/isbn&gt;&lt;urls&gt;&lt;related-urls&gt;&lt;url&gt;http://www.biomedcentral.com/content/pdf/1471-2296-11-61.pdf&lt;/url&gt;&lt;/related-urls&gt;&lt;/urls&gt;&lt;/record&gt;&lt;/Cite&gt;&lt;/EndNote&gt;</w:instrText>
      </w:r>
      <w:r w:rsidR="00EF6E4D" w:rsidRPr="008D04B1">
        <w:rPr>
          <w:rFonts w:cstheme="minorHAnsi"/>
          <w:lang w:val="en-GB"/>
        </w:rPr>
        <w:fldChar w:fldCharType="separate"/>
      </w:r>
      <w:r w:rsidR="00A4727D">
        <w:rPr>
          <w:rFonts w:cstheme="minorHAnsi"/>
          <w:noProof/>
          <w:lang w:val="en-GB"/>
        </w:rPr>
        <w:t>(</w:t>
      </w:r>
      <w:hyperlink w:anchor="_ENREF_11" w:tooltip="Kontopantelis, 2010 #60" w:history="1">
        <w:r w:rsidR="00A4727D">
          <w:rPr>
            <w:rFonts w:cstheme="minorHAnsi"/>
            <w:noProof/>
            <w:lang w:val="en-GB"/>
          </w:rPr>
          <w:t>11</w:t>
        </w:r>
      </w:hyperlink>
      <w:r w:rsidR="00A4727D">
        <w:rPr>
          <w:rFonts w:cstheme="minorHAnsi"/>
          <w:noProof/>
          <w:lang w:val="en-GB"/>
        </w:rPr>
        <w:t>)</w:t>
      </w:r>
      <w:r w:rsidR="00EF6E4D" w:rsidRPr="008D04B1">
        <w:rPr>
          <w:rFonts w:cstheme="minorHAnsi"/>
          <w:lang w:val="en-GB"/>
        </w:rPr>
        <w:fldChar w:fldCharType="end"/>
      </w:r>
      <w:r w:rsidR="00CC533B" w:rsidRPr="008D04B1">
        <w:rPr>
          <w:rFonts w:cstheme="minorHAnsi"/>
          <w:lang w:val="en-GB"/>
        </w:rPr>
        <w:t xml:space="preserve">. </w:t>
      </w:r>
    </w:p>
    <w:p w14:paraId="6C8C8BFD" w14:textId="77777777" w:rsidR="00CC533B" w:rsidRPr="008D04B1" w:rsidRDefault="00CC533B" w:rsidP="00997774">
      <w:pPr>
        <w:spacing w:line="360" w:lineRule="auto"/>
        <w:rPr>
          <w:rFonts w:cstheme="minorHAnsi"/>
          <w:lang w:val="en-GB"/>
        </w:rPr>
      </w:pPr>
    </w:p>
    <w:p w14:paraId="3CE293AE" w14:textId="3730DBAA" w:rsidR="00522B96" w:rsidRPr="008D04B1" w:rsidRDefault="00393BF9" w:rsidP="002650E0">
      <w:pPr>
        <w:spacing w:line="360" w:lineRule="auto"/>
        <w:rPr>
          <w:rFonts w:cstheme="minorHAnsi"/>
          <w:lang w:val="en-GB"/>
        </w:rPr>
      </w:pPr>
      <w:r w:rsidRPr="008D04B1">
        <w:rPr>
          <w:rFonts w:cstheme="minorHAnsi"/>
          <w:lang w:val="en-GB"/>
        </w:rPr>
        <w:t xml:space="preserve">It </w:t>
      </w:r>
      <w:r w:rsidR="00C5755E" w:rsidRPr="008D04B1">
        <w:rPr>
          <w:rFonts w:cstheme="minorHAnsi"/>
          <w:lang w:val="en-GB"/>
        </w:rPr>
        <w:t xml:space="preserve">did not appear that </w:t>
      </w:r>
      <w:r w:rsidR="00ED282C" w:rsidRPr="008D04B1">
        <w:rPr>
          <w:rFonts w:cstheme="minorHAnsi"/>
          <w:lang w:val="en-GB"/>
        </w:rPr>
        <w:t xml:space="preserve">patients </w:t>
      </w:r>
      <w:r w:rsidR="002D0E99" w:rsidRPr="008D04B1">
        <w:rPr>
          <w:rFonts w:cstheme="minorHAnsi"/>
          <w:lang w:val="en-GB"/>
        </w:rPr>
        <w:t xml:space="preserve">in the </w:t>
      </w:r>
      <w:r w:rsidR="002E0858" w:rsidRPr="008D04B1">
        <w:rPr>
          <w:rFonts w:cstheme="minorHAnsi"/>
          <w:lang w:val="en-GB"/>
        </w:rPr>
        <w:t>P</w:t>
      </w:r>
      <w:r w:rsidR="002D0E99" w:rsidRPr="008D04B1">
        <w:rPr>
          <w:rFonts w:cstheme="minorHAnsi"/>
          <w:lang w:val="en-GB"/>
        </w:rPr>
        <w:t>ilot</w:t>
      </w:r>
      <w:r w:rsidR="002E0858" w:rsidRPr="008D04B1">
        <w:rPr>
          <w:rFonts w:cstheme="minorHAnsi"/>
          <w:lang w:val="en-GB"/>
        </w:rPr>
        <w:t xml:space="preserve"> chose better performing practices </w:t>
      </w:r>
      <w:r w:rsidR="002E7970" w:rsidRPr="008D04B1">
        <w:rPr>
          <w:rFonts w:cstheme="minorHAnsi"/>
          <w:lang w:val="en-GB"/>
        </w:rPr>
        <w:t>or were predominantly motivated by dissatisfaction with their previous practices</w:t>
      </w:r>
      <w:r w:rsidR="007207C3" w:rsidRPr="008D04B1">
        <w:rPr>
          <w:rFonts w:cstheme="minorHAnsi"/>
          <w:lang w:val="en-GB"/>
        </w:rPr>
        <w:t>,</w:t>
      </w:r>
      <w:r w:rsidR="008A565E" w:rsidRPr="008D04B1">
        <w:rPr>
          <w:rFonts w:cstheme="minorHAnsi"/>
          <w:lang w:val="en-GB"/>
        </w:rPr>
        <w:t xml:space="preserve"> so </w:t>
      </w:r>
      <w:r w:rsidR="00D0267B" w:rsidRPr="008D04B1">
        <w:rPr>
          <w:rFonts w:cstheme="minorHAnsi"/>
          <w:lang w:val="en-GB"/>
        </w:rPr>
        <w:t xml:space="preserve">on this evidence, </w:t>
      </w:r>
      <w:r w:rsidR="008A565E" w:rsidRPr="008D04B1">
        <w:rPr>
          <w:rFonts w:cstheme="minorHAnsi"/>
          <w:lang w:val="en-GB"/>
        </w:rPr>
        <w:t xml:space="preserve">it seems unlikely that the removal of practice boundaries will </w:t>
      </w:r>
      <w:r w:rsidR="00536EC9" w:rsidRPr="008D04B1">
        <w:rPr>
          <w:rFonts w:cstheme="minorHAnsi"/>
          <w:lang w:val="en-GB"/>
        </w:rPr>
        <w:t xml:space="preserve">necessarily </w:t>
      </w:r>
      <w:r w:rsidR="008A565E" w:rsidRPr="008D04B1">
        <w:rPr>
          <w:rFonts w:cstheme="minorHAnsi"/>
          <w:lang w:val="en-GB"/>
        </w:rPr>
        <w:t xml:space="preserve">encourage </w:t>
      </w:r>
      <w:r w:rsidR="00536EC9" w:rsidRPr="008D04B1">
        <w:rPr>
          <w:rFonts w:cstheme="minorHAnsi"/>
          <w:lang w:val="en-GB"/>
        </w:rPr>
        <w:t>patients to seek better practices, thereby encouraging practices to become more responsive to their patients and/or to improve the quality of their services.  For example, o</w:t>
      </w:r>
      <w:r w:rsidR="005715BD" w:rsidRPr="008D04B1">
        <w:rPr>
          <w:rFonts w:cstheme="minorHAnsi"/>
          <w:lang w:val="en-GB"/>
        </w:rPr>
        <w:t xml:space="preserve">nly 14% of </w:t>
      </w:r>
      <w:r w:rsidR="00C5755E" w:rsidRPr="008D04B1">
        <w:rPr>
          <w:rFonts w:cstheme="minorHAnsi"/>
          <w:lang w:val="en-GB"/>
        </w:rPr>
        <w:t xml:space="preserve">pilot </w:t>
      </w:r>
      <w:r w:rsidR="005715BD" w:rsidRPr="008D04B1">
        <w:rPr>
          <w:rFonts w:cstheme="minorHAnsi"/>
          <w:lang w:val="en-GB"/>
        </w:rPr>
        <w:t xml:space="preserve">patients </w:t>
      </w:r>
      <w:r w:rsidR="00C5755E" w:rsidRPr="008D04B1">
        <w:rPr>
          <w:rFonts w:cstheme="minorHAnsi"/>
          <w:lang w:val="en-GB"/>
        </w:rPr>
        <w:t xml:space="preserve">changed </w:t>
      </w:r>
      <w:r w:rsidR="005715BD" w:rsidRPr="008D04B1">
        <w:rPr>
          <w:rFonts w:cstheme="minorHAnsi"/>
          <w:lang w:val="en-GB"/>
        </w:rPr>
        <w:t xml:space="preserve">because they were dissatisfied with their previous practice or </w:t>
      </w:r>
      <w:r w:rsidR="00536EC9" w:rsidRPr="008D04B1">
        <w:rPr>
          <w:rFonts w:cstheme="minorHAnsi"/>
          <w:lang w:val="en-GB"/>
        </w:rPr>
        <w:t>chose</w:t>
      </w:r>
      <w:r w:rsidR="005715BD" w:rsidRPr="008D04B1">
        <w:rPr>
          <w:rFonts w:cstheme="minorHAnsi"/>
          <w:lang w:val="en-GB"/>
        </w:rPr>
        <w:t xml:space="preserve"> their new practice</w:t>
      </w:r>
      <w:r w:rsidR="00536EC9" w:rsidRPr="008D04B1">
        <w:rPr>
          <w:rFonts w:cstheme="minorHAnsi"/>
          <w:lang w:val="en-GB"/>
        </w:rPr>
        <w:t xml:space="preserve"> because it offered services unavailable to them previously</w:t>
      </w:r>
      <w:r w:rsidR="005715BD" w:rsidRPr="008D04B1">
        <w:rPr>
          <w:rFonts w:cstheme="minorHAnsi"/>
          <w:lang w:val="en-GB"/>
        </w:rPr>
        <w:t>.</w:t>
      </w:r>
      <w:r w:rsidR="002F4D86" w:rsidRPr="008D04B1">
        <w:rPr>
          <w:rFonts w:cstheme="minorHAnsi"/>
          <w:lang w:val="en-GB"/>
        </w:rPr>
        <w:t xml:space="preserve">  </w:t>
      </w:r>
    </w:p>
    <w:p w14:paraId="5B484D3B" w14:textId="77777777" w:rsidR="00DC2D4E" w:rsidRPr="008D04B1" w:rsidRDefault="00DC2D4E" w:rsidP="002650E0">
      <w:pPr>
        <w:spacing w:line="360" w:lineRule="auto"/>
        <w:rPr>
          <w:rFonts w:cstheme="minorHAnsi"/>
          <w:lang w:val="en-GB"/>
        </w:rPr>
      </w:pPr>
    </w:p>
    <w:p w14:paraId="7FC7B429" w14:textId="60351EDB" w:rsidR="00DC2D4E" w:rsidRPr="008D04B1" w:rsidRDefault="000A67CE" w:rsidP="00997774">
      <w:pPr>
        <w:spacing w:line="360" w:lineRule="auto"/>
        <w:rPr>
          <w:rFonts w:cstheme="minorHAnsi"/>
          <w:lang w:val="en-GB"/>
        </w:rPr>
      </w:pPr>
      <w:r w:rsidRPr="008D04B1">
        <w:rPr>
          <w:rFonts w:cstheme="minorHAnsi"/>
        </w:rPr>
        <w:t>While the evaluation was able to identify the advantages, in principle, of improving choice and access for out-of-area patients, it could not directly assess</w:t>
      </w:r>
      <w:r w:rsidR="007207C3" w:rsidRPr="008D04B1">
        <w:rPr>
          <w:rFonts w:cstheme="minorHAnsi"/>
        </w:rPr>
        <w:t xml:space="preserve"> the</w:t>
      </w:r>
      <w:r w:rsidRPr="008D04B1">
        <w:rPr>
          <w:rFonts w:cstheme="minorHAnsi"/>
        </w:rPr>
        <w:t xml:space="preserve"> impact on quality of care and health outcomes.  </w:t>
      </w:r>
      <w:r w:rsidR="00A00CD0" w:rsidRPr="008D04B1">
        <w:rPr>
          <w:rFonts w:cstheme="minorHAnsi"/>
          <w:lang w:val="en-GB"/>
        </w:rPr>
        <w:t xml:space="preserve">In the short </w:t>
      </w:r>
      <w:r w:rsidR="00536EC9" w:rsidRPr="008D04B1">
        <w:rPr>
          <w:rFonts w:cstheme="minorHAnsi"/>
          <w:lang w:val="en-GB"/>
        </w:rPr>
        <w:t>period</w:t>
      </w:r>
      <w:r w:rsidR="00A00CD0" w:rsidRPr="008D04B1">
        <w:rPr>
          <w:rFonts w:cstheme="minorHAnsi"/>
          <w:lang w:val="en-GB"/>
        </w:rPr>
        <w:t xml:space="preserve"> of the </w:t>
      </w:r>
      <w:r w:rsidR="007F5026" w:rsidRPr="008D04B1">
        <w:rPr>
          <w:rFonts w:cstheme="minorHAnsi"/>
          <w:lang w:val="en-GB"/>
        </w:rPr>
        <w:t>P</w:t>
      </w:r>
      <w:r w:rsidR="00A00CD0" w:rsidRPr="008D04B1">
        <w:rPr>
          <w:rFonts w:cstheme="minorHAnsi"/>
          <w:lang w:val="en-GB"/>
        </w:rPr>
        <w:t xml:space="preserve">ilot, pilot practices and commissioners </w:t>
      </w:r>
      <w:r w:rsidR="00177402" w:rsidRPr="008D04B1">
        <w:rPr>
          <w:rFonts w:cstheme="minorHAnsi"/>
          <w:lang w:val="en-GB"/>
        </w:rPr>
        <w:t>did</w:t>
      </w:r>
      <w:r w:rsidR="004574C4" w:rsidRPr="008D04B1">
        <w:rPr>
          <w:rFonts w:cstheme="minorHAnsi"/>
          <w:lang w:val="en-GB"/>
        </w:rPr>
        <w:t xml:space="preserve"> not </w:t>
      </w:r>
      <w:r w:rsidRPr="008D04B1">
        <w:rPr>
          <w:rFonts w:cstheme="minorHAnsi"/>
          <w:lang w:val="en-GB"/>
        </w:rPr>
        <w:t>report</w:t>
      </w:r>
      <w:r w:rsidR="004574C4" w:rsidRPr="008D04B1">
        <w:rPr>
          <w:rFonts w:cstheme="minorHAnsi"/>
          <w:lang w:val="en-GB"/>
        </w:rPr>
        <w:t xml:space="preserve"> any</w:t>
      </w:r>
      <w:r w:rsidRPr="008D04B1">
        <w:rPr>
          <w:rFonts w:cstheme="minorHAnsi"/>
          <w:lang w:val="en-GB"/>
        </w:rPr>
        <w:t xml:space="preserve"> adverse events that they could attribute to</w:t>
      </w:r>
      <w:r w:rsidR="00177402" w:rsidRPr="008D04B1">
        <w:rPr>
          <w:rFonts w:cstheme="minorHAnsi"/>
          <w:lang w:val="en-GB"/>
        </w:rPr>
        <w:t xml:space="preserve"> out-of-area status</w:t>
      </w:r>
      <w:r w:rsidR="002D0E99" w:rsidRPr="008D04B1">
        <w:rPr>
          <w:rFonts w:cstheme="minorHAnsi"/>
          <w:lang w:val="en-GB"/>
        </w:rPr>
        <w:t>, although</w:t>
      </w:r>
      <w:r w:rsidR="00536EC9" w:rsidRPr="008D04B1">
        <w:rPr>
          <w:rFonts w:cstheme="minorHAnsi"/>
          <w:lang w:val="en-GB"/>
        </w:rPr>
        <w:t xml:space="preserve"> the GPs in</w:t>
      </w:r>
      <w:r w:rsidR="002D0E99" w:rsidRPr="008D04B1">
        <w:rPr>
          <w:rFonts w:cstheme="minorHAnsi"/>
          <w:lang w:val="en-GB"/>
        </w:rPr>
        <w:t xml:space="preserve"> two PCTs declined to participate in the pilot because</w:t>
      </w:r>
      <w:r w:rsidR="00536EC9" w:rsidRPr="008D04B1">
        <w:rPr>
          <w:rFonts w:cstheme="minorHAnsi"/>
          <w:lang w:val="en-GB"/>
        </w:rPr>
        <w:t xml:space="preserve"> of a range of concerns, including </w:t>
      </w:r>
      <w:r w:rsidR="00227373" w:rsidRPr="008D04B1">
        <w:rPr>
          <w:rFonts w:cstheme="minorHAnsi"/>
          <w:lang w:val="en-GB"/>
        </w:rPr>
        <w:t>the ability of practices to provide a sufficiently high quality of care to patients living outside their catchments</w:t>
      </w:r>
      <w:r w:rsidR="00405C10" w:rsidRPr="008D04B1">
        <w:rPr>
          <w:rFonts w:cstheme="minorHAnsi"/>
          <w:lang w:val="en-GB"/>
        </w:rPr>
        <w:t xml:space="preserve">. </w:t>
      </w:r>
      <w:r w:rsidR="002F4D86" w:rsidRPr="008D04B1">
        <w:rPr>
          <w:rFonts w:cstheme="minorHAnsi"/>
        </w:rPr>
        <w:t xml:space="preserve"> </w:t>
      </w:r>
      <w:r w:rsidR="007F5026" w:rsidRPr="008D04B1">
        <w:rPr>
          <w:rFonts w:cstheme="minorHAnsi"/>
        </w:rPr>
        <w:t xml:space="preserve">For example, </w:t>
      </w:r>
      <w:r w:rsidR="00C32F60" w:rsidRPr="008D04B1">
        <w:rPr>
          <w:rFonts w:cstheme="minorHAnsi"/>
        </w:rPr>
        <w:t>patients</w:t>
      </w:r>
      <w:r w:rsidR="00DC2D4E" w:rsidRPr="008D04B1">
        <w:rPr>
          <w:rFonts w:cstheme="minorHAnsi"/>
        </w:rPr>
        <w:t xml:space="preserve"> with high needs</w:t>
      </w:r>
      <w:r w:rsidR="004F5625" w:rsidRPr="008D04B1">
        <w:rPr>
          <w:rFonts w:cstheme="minorHAnsi"/>
        </w:rPr>
        <w:t xml:space="preserve"> no longer within walking distance of their practice</w:t>
      </w:r>
      <w:r w:rsidR="002D0E99" w:rsidRPr="008D04B1">
        <w:rPr>
          <w:rFonts w:cstheme="minorHAnsi"/>
        </w:rPr>
        <w:t xml:space="preserve"> but still in the same</w:t>
      </w:r>
      <w:r w:rsidR="00891713">
        <w:rPr>
          <w:rFonts w:cstheme="minorHAnsi"/>
        </w:rPr>
        <w:t xml:space="preserve"> </w:t>
      </w:r>
      <w:r w:rsidR="002D0E99" w:rsidRPr="008D04B1">
        <w:rPr>
          <w:rFonts w:cstheme="minorHAnsi"/>
        </w:rPr>
        <w:t>CCG</w:t>
      </w:r>
      <w:r w:rsidR="00126188">
        <w:rPr>
          <w:rFonts w:cstheme="minorHAnsi"/>
        </w:rPr>
        <w:t xml:space="preserve"> area</w:t>
      </w:r>
      <w:r w:rsidR="004F5625" w:rsidRPr="008D04B1">
        <w:rPr>
          <w:rFonts w:cstheme="minorHAnsi"/>
        </w:rPr>
        <w:t xml:space="preserve">, </w:t>
      </w:r>
      <w:r w:rsidR="00227373" w:rsidRPr="008D04B1">
        <w:rPr>
          <w:rFonts w:cstheme="minorHAnsi"/>
        </w:rPr>
        <w:t>might forego</w:t>
      </w:r>
      <w:r w:rsidR="004F5625" w:rsidRPr="008D04B1">
        <w:rPr>
          <w:rFonts w:cstheme="minorHAnsi"/>
        </w:rPr>
        <w:t xml:space="preserve"> care due to transport difficulties</w:t>
      </w:r>
      <w:r w:rsidR="002D0E99" w:rsidRPr="008D04B1">
        <w:rPr>
          <w:rFonts w:cstheme="minorHAnsi"/>
        </w:rPr>
        <w:t xml:space="preserve"> or </w:t>
      </w:r>
      <w:r w:rsidR="00227373" w:rsidRPr="008D04B1">
        <w:rPr>
          <w:rFonts w:cstheme="minorHAnsi"/>
        </w:rPr>
        <w:t>go to</w:t>
      </w:r>
      <w:r w:rsidR="002D0E99" w:rsidRPr="008D04B1">
        <w:rPr>
          <w:rFonts w:cstheme="minorHAnsi"/>
        </w:rPr>
        <w:t xml:space="preserve"> a more convenient but inappropriate service (e.g. </w:t>
      </w:r>
      <w:r w:rsidR="00227373" w:rsidRPr="008D04B1">
        <w:rPr>
          <w:rFonts w:cstheme="minorHAnsi"/>
        </w:rPr>
        <w:t>the accident and emergency department</w:t>
      </w:r>
      <w:r w:rsidR="002D0E99" w:rsidRPr="008D04B1">
        <w:rPr>
          <w:rFonts w:cstheme="minorHAnsi"/>
        </w:rPr>
        <w:t xml:space="preserve"> or</w:t>
      </w:r>
      <w:r w:rsidR="00227373" w:rsidRPr="008D04B1">
        <w:rPr>
          <w:rFonts w:cstheme="minorHAnsi"/>
        </w:rPr>
        <w:t xml:space="preserve"> even</w:t>
      </w:r>
      <w:r w:rsidR="002D0E99" w:rsidRPr="008D04B1">
        <w:rPr>
          <w:rFonts w:cstheme="minorHAnsi"/>
        </w:rPr>
        <w:t xml:space="preserve"> call 999)</w:t>
      </w:r>
      <w:r w:rsidR="004F5625" w:rsidRPr="008D04B1">
        <w:rPr>
          <w:rFonts w:cstheme="minorHAnsi"/>
        </w:rPr>
        <w:t>.</w:t>
      </w:r>
      <w:r w:rsidR="002F4D86" w:rsidRPr="008D04B1">
        <w:rPr>
          <w:rFonts w:cstheme="minorHAnsi"/>
        </w:rPr>
        <w:t xml:space="preserve"> </w:t>
      </w:r>
      <w:r w:rsidR="004F5625" w:rsidRPr="008D04B1">
        <w:rPr>
          <w:rFonts w:cstheme="minorHAnsi"/>
        </w:rPr>
        <w:t>Equally, this m</w:t>
      </w:r>
      <w:r w:rsidR="007207C3" w:rsidRPr="008D04B1">
        <w:rPr>
          <w:rFonts w:cstheme="minorHAnsi"/>
        </w:rPr>
        <w:t>ight</w:t>
      </w:r>
      <w:r w:rsidR="004F5625" w:rsidRPr="008D04B1">
        <w:rPr>
          <w:rFonts w:cstheme="minorHAnsi"/>
        </w:rPr>
        <w:t xml:space="preserve"> reduce the likelihood of a GP home visit because of </w:t>
      </w:r>
      <w:r w:rsidR="00227373" w:rsidRPr="008D04B1">
        <w:rPr>
          <w:rFonts w:cstheme="minorHAnsi"/>
        </w:rPr>
        <w:t xml:space="preserve">the </w:t>
      </w:r>
      <w:r w:rsidR="00C32F60" w:rsidRPr="008D04B1">
        <w:rPr>
          <w:rFonts w:cstheme="minorHAnsi"/>
        </w:rPr>
        <w:t>additional travel time</w:t>
      </w:r>
      <w:r w:rsidR="00724D16" w:rsidRPr="008D04B1">
        <w:rPr>
          <w:rFonts w:cstheme="minorHAnsi"/>
        </w:rPr>
        <w:t>.</w:t>
      </w:r>
      <w:r w:rsidR="00CD72CC" w:rsidRPr="008D04B1">
        <w:rPr>
          <w:rFonts w:cstheme="minorHAnsi"/>
          <w:lang w:val="en-GB"/>
        </w:rPr>
        <w:t xml:space="preserve"> </w:t>
      </w:r>
      <w:r w:rsidR="00DC2D4E" w:rsidRPr="008D04B1">
        <w:rPr>
          <w:rFonts w:cstheme="minorHAnsi"/>
          <w:lang w:val="en-GB"/>
        </w:rPr>
        <w:t xml:space="preserve">Although such problems did not occur during the Pilot, this </w:t>
      </w:r>
      <w:r w:rsidR="00227373" w:rsidRPr="008D04B1">
        <w:rPr>
          <w:rFonts w:cstheme="minorHAnsi"/>
          <w:lang w:val="en-GB"/>
        </w:rPr>
        <w:t>could</w:t>
      </w:r>
      <w:r w:rsidR="00DC2D4E" w:rsidRPr="008D04B1">
        <w:rPr>
          <w:rFonts w:cstheme="minorHAnsi"/>
          <w:lang w:val="en-GB"/>
        </w:rPr>
        <w:t xml:space="preserve"> change with the rollout of the policy. </w:t>
      </w:r>
    </w:p>
    <w:p w14:paraId="2B578008" w14:textId="77777777" w:rsidR="00DC2D4E" w:rsidRPr="008D04B1" w:rsidRDefault="00DC2D4E" w:rsidP="00997774">
      <w:pPr>
        <w:spacing w:line="360" w:lineRule="auto"/>
        <w:rPr>
          <w:rFonts w:cstheme="minorHAnsi"/>
          <w:lang w:val="en-GB"/>
        </w:rPr>
      </w:pPr>
    </w:p>
    <w:p w14:paraId="56D7858D" w14:textId="77777777" w:rsidR="00997774" w:rsidRPr="00DA5E4D" w:rsidRDefault="009E72A2" w:rsidP="00DA5E4D">
      <w:pPr>
        <w:pStyle w:val="ListParagraph"/>
        <w:numPr>
          <w:ilvl w:val="1"/>
          <w:numId w:val="13"/>
        </w:numPr>
        <w:spacing w:line="360" w:lineRule="auto"/>
        <w:rPr>
          <w:rFonts w:cstheme="minorHAnsi"/>
          <w:i/>
        </w:rPr>
      </w:pPr>
      <w:r w:rsidRPr="00DA5E4D">
        <w:rPr>
          <w:rFonts w:cstheme="minorHAnsi"/>
          <w:i/>
        </w:rPr>
        <w:lastRenderedPageBreak/>
        <w:t>What are the potential implications of out-of-area registration for equity of access?</w:t>
      </w:r>
      <w:r w:rsidR="003D4624" w:rsidRPr="005E4EBB">
        <w:rPr>
          <w:rStyle w:val="CommentReference"/>
          <w:rFonts w:cstheme="minorHAnsi"/>
        </w:rPr>
        <w:t xml:space="preserve"> </w:t>
      </w:r>
    </w:p>
    <w:p w14:paraId="252B597A" w14:textId="77777777" w:rsidR="009F5ED6" w:rsidRPr="008D04B1" w:rsidRDefault="00227373" w:rsidP="001934AA">
      <w:pPr>
        <w:spacing w:line="360" w:lineRule="auto"/>
        <w:rPr>
          <w:rFonts w:cstheme="minorHAnsi"/>
        </w:rPr>
      </w:pPr>
      <w:r w:rsidRPr="008D04B1">
        <w:rPr>
          <w:rFonts w:cstheme="minorHAnsi"/>
        </w:rPr>
        <w:t>There is a concern that the removal of boundaries could lead to a</w:t>
      </w:r>
      <w:r w:rsidR="001E1CEB" w:rsidRPr="008D04B1">
        <w:rPr>
          <w:rFonts w:cstheme="minorHAnsi"/>
        </w:rPr>
        <w:t>n exodus</w:t>
      </w:r>
      <w:r w:rsidRPr="008D04B1">
        <w:rPr>
          <w:rFonts w:cstheme="minorHAnsi"/>
        </w:rPr>
        <w:t xml:space="preserve"> of patients to better performing practices, leaving other, for instance, </w:t>
      </w:r>
      <w:r w:rsidR="000909E6">
        <w:rPr>
          <w:rFonts w:cstheme="minorHAnsi"/>
        </w:rPr>
        <w:t xml:space="preserve">older or </w:t>
      </w:r>
      <w:r w:rsidRPr="008D04B1">
        <w:rPr>
          <w:rFonts w:cstheme="minorHAnsi"/>
        </w:rPr>
        <w:t>less mobile patients reliant on poorer quality services.  However,</w:t>
      </w:r>
      <w:r w:rsidR="002F4D86" w:rsidRPr="008D04B1">
        <w:rPr>
          <w:rFonts w:cstheme="minorHAnsi"/>
        </w:rPr>
        <w:t xml:space="preserve"> </w:t>
      </w:r>
      <w:r w:rsidRPr="008D04B1">
        <w:rPr>
          <w:rFonts w:cstheme="minorHAnsi"/>
        </w:rPr>
        <w:t>t</w:t>
      </w:r>
      <w:r w:rsidR="00FB3C59" w:rsidRPr="008D04B1">
        <w:rPr>
          <w:rFonts w:cstheme="minorHAnsi"/>
        </w:rPr>
        <w:t>here was no evidence</w:t>
      </w:r>
      <w:r w:rsidRPr="008D04B1">
        <w:rPr>
          <w:rFonts w:cstheme="minorHAnsi"/>
        </w:rPr>
        <w:t xml:space="preserve"> in the Pilot</w:t>
      </w:r>
      <w:r w:rsidR="00FB3C59" w:rsidRPr="008D04B1">
        <w:rPr>
          <w:rFonts w:cstheme="minorHAnsi"/>
        </w:rPr>
        <w:t xml:space="preserve"> that</w:t>
      </w:r>
      <w:r w:rsidR="00EA4A2B" w:rsidRPr="008D04B1">
        <w:rPr>
          <w:rFonts w:cstheme="minorHAnsi"/>
        </w:rPr>
        <w:t xml:space="preserve"> patients chose</w:t>
      </w:r>
      <w:r w:rsidR="00FB3C59" w:rsidRPr="008D04B1">
        <w:rPr>
          <w:rFonts w:cstheme="minorHAnsi"/>
        </w:rPr>
        <w:t xml:space="preserve"> better</w:t>
      </w:r>
      <w:r w:rsidR="00394043" w:rsidRPr="008D04B1">
        <w:rPr>
          <w:rFonts w:cstheme="minorHAnsi"/>
        </w:rPr>
        <w:t xml:space="preserve"> practices</w:t>
      </w:r>
      <w:r w:rsidRPr="008D04B1">
        <w:rPr>
          <w:rFonts w:cstheme="minorHAnsi"/>
        </w:rPr>
        <w:t xml:space="preserve">. </w:t>
      </w:r>
    </w:p>
    <w:p w14:paraId="0B145C57" w14:textId="77777777" w:rsidR="005A2B23" w:rsidRPr="008D04B1" w:rsidRDefault="005A2B23" w:rsidP="00997774">
      <w:pPr>
        <w:spacing w:line="360" w:lineRule="auto"/>
        <w:rPr>
          <w:rFonts w:cstheme="minorHAnsi"/>
        </w:rPr>
      </w:pPr>
    </w:p>
    <w:p w14:paraId="27271FDE" w14:textId="70EDA04E" w:rsidR="007F5026" w:rsidRPr="008D04B1" w:rsidRDefault="005A2B23" w:rsidP="007F5026">
      <w:pPr>
        <w:spacing w:line="360" w:lineRule="auto"/>
        <w:rPr>
          <w:rFonts w:cstheme="minorHAnsi"/>
          <w:lang w:val="en-GB"/>
        </w:rPr>
      </w:pPr>
      <w:r w:rsidRPr="008D04B1">
        <w:rPr>
          <w:rFonts w:cstheme="minorHAnsi"/>
        </w:rPr>
        <w:t>The</w:t>
      </w:r>
      <w:r w:rsidR="00227373" w:rsidRPr="008D04B1">
        <w:rPr>
          <w:rFonts w:cstheme="minorHAnsi"/>
        </w:rPr>
        <w:t>re</w:t>
      </w:r>
      <w:r w:rsidR="005E18F8" w:rsidRPr="008D04B1">
        <w:rPr>
          <w:rFonts w:cstheme="minorHAnsi"/>
        </w:rPr>
        <w:t xml:space="preserve"> is</w:t>
      </w:r>
      <w:r w:rsidR="00E638C9" w:rsidRPr="008D04B1">
        <w:rPr>
          <w:rFonts w:cstheme="minorHAnsi"/>
        </w:rPr>
        <w:t xml:space="preserve"> </w:t>
      </w:r>
      <w:r w:rsidR="005E18F8" w:rsidRPr="008D04B1">
        <w:rPr>
          <w:rFonts w:cstheme="minorHAnsi"/>
        </w:rPr>
        <w:t>a</w:t>
      </w:r>
      <w:r w:rsidR="00724D16" w:rsidRPr="008D04B1">
        <w:rPr>
          <w:rFonts w:cstheme="minorHAnsi"/>
        </w:rPr>
        <w:t>n</w:t>
      </w:r>
      <w:r w:rsidR="005E18F8" w:rsidRPr="008D04B1">
        <w:rPr>
          <w:rFonts w:cstheme="minorHAnsi"/>
        </w:rPr>
        <w:t xml:space="preserve"> </w:t>
      </w:r>
      <w:r w:rsidR="00E638C9" w:rsidRPr="008D04B1">
        <w:rPr>
          <w:rFonts w:cstheme="minorHAnsi"/>
        </w:rPr>
        <w:t>issue</w:t>
      </w:r>
      <w:r w:rsidR="005E18F8" w:rsidRPr="008D04B1">
        <w:rPr>
          <w:rFonts w:cstheme="minorHAnsi"/>
        </w:rPr>
        <w:t xml:space="preserve"> related to</w:t>
      </w:r>
      <w:r w:rsidR="00E638C9" w:rsidRPr="008D04B1">
        <w:rPr>
          <w:rFonts w:cstheme="minorHAnsi"/>
        </w:rPr>
        <w:t xml:space="preserve"> equity of access, </w:t>
      </w:r>
      <w:r w:rsidR="005E18F8" w:rsidRPr="008D04B1">
        <w:rPr>
          <w:rFonts w:cstheme="minorHAnsi"/>
        </w:rPr>
        <w:t xml:space="preserve">namely, how to balance </w:t>
      </w:r>
      <w:r w:rsidRPr="008D04B1">
        <w:rPr>
          <w:rFonts w:cstheme="minorHAnsi"/>
        </w:rPr>
        <w:t>the</w:t>
      </w:r>
      <w:r w:rsidR="008850DC" w:rsidRPr="008D04B1">
        <w:rPr>
          <w:rFonts w:cstheme="minorHAnsi"/>
        </w:rPr>
        <w:t xml:space="preserve"> </w:t>
      </w:r>
      <w:r w:rsidRPr="008D04B1">
        <w:rPr>
          <w:rFonts w:cstheme="minorHAnsi"/>
        </w:rPr>
        <w:t xml:space="preserve">access </w:t>
      </w:r>
      <w:r w:rsidR="008850DC" w:rsidRPr="008D04B1">
        <w:rPr>
          <w:rFonts w:cstheme="minorHAnsi"/>
        </w:rPr>
        <w:t>needs</w:t>
      </w:r>
      <w:r w:rsidRPr="008D04B1">
        <w:rPr>
          <w:rFonts w:cstheme="minorHAnsi"/>
        </w:rPr>
        <w:t xml:space="preserve"> of local residents</w:t>
      </w:r>
      <w:r w:rsidR="008850DC" w:rsidRPr="008D04B1">
        <w:rPr>
          <w:rFonts w:cstheme="minorHAnsi"/>
        </w:rPr>
        <w:t xml:space="preserve"> </w:t>
      </w:r>
      <w:r w:rsidRPr="008D04B1">
        <w:rPr>
          <w:rFonts w:cstheme="minorHAnsi"/>
        </w:rPr>
        <w:t>against the demands of</w:t>
      </w:r>
      <w:r w:rsidR="008850DC" w:rsidRPr="008D04B1">
        <w:rPr>
          <w:rFonts w:cstheme="minorHAnsi"/>
        </w:rPr>
        <w:t xml:space="preserve"> those</w:t>
      </w:r>
      <w:r w:rsidR="005E18F8" w:rsidRPr="008D04B1">
        <w:rPr>
          <w:rFonts w:cstheme="minorHAnsi"/>
        </w:rPr>
        <w:t>, for example,</w:t>
      </w:r>
      <w:r w:rsidR="008850DC" w:rsidRPr="008D04B1">
        <w:rPr>
          <w:rFonts w:cstheme="minorHAnsi"/>
        </w:rPr>
        <w:t xml:space="preserve"> working in the</w:t>
      </w:r>
      <w:r w:rsidR="005E18F8" w:rsidRPr="008D04B1">
        <w:rPr>
          <w:rFonts w:cstheme="minorHAnsi"/>
        </w:rPr>
        <w:t xml:space="preserve"> same</w:t>
      </w:r>
      <w:r w:rsidR="008850DC" w:rsidRPr="008D04B1">
        <w:rPr>
          <w:rFonts w:cstheme="minorHAnsi"/>
        </w:rPr>
        <w:t xml:space="preserve"> area</w:t>
      </w:r>
      <w:r w:rsidR="005E18F8" w:rsidRPr="008D04B1">
        <w:rPr>
          <w:rFonts w:cstheme="minorHAnsi"/>
        </w:rPr>
        <w:t>,</w:t>
      </w:r>
      <w:r w:rsidRPr="008D04B1">
        <w:rPr>
          <w:rFonts w:cstheme="minorHAnsi"/>
        </w:rPr>
        <w:t xml:space="preserve"> who may</w:t>
      </w:r>
      <w:r w:rsidR="005E18F8" w:rsidRPr="008D04B1">
        <w:rPr>
          <w:rFonts w:cstheme="minorHAnsi"/>
        </w:rPr>
        <w:t xml:space="preserve"> also</w:t>
      </w:r>
      <w:r w:rsidR="00F30B4A" w:rsidRPr="008D04B1">
        <w:rPr>
          <w:rFonts w:cstheme="minorHAnsi"/>
        </w:rPr>
        <w:t xml:space="preserve"> benefit from timely access and convenience</w:t>
      </w:r>
      <w:r w:rsidR="008850DC" w:rsidRPr="008D04B1">
        <w:rPr>
          <w:rFonts w:cstheme="minorHAnsi"/>
        </w:rPr>
        <w:t>.</w:t>
      </w:r>
      <w:r w:rsidR="007F5026" w:rsidRPr="008D04B1">
        <w:rPr>
          <w:rFonts w:cstheme="minorHAnsi"/>
          <w:lang w:val="en-GB"/>
        </w:rPr>
        <w:t xml:space="preserve"> It is possible that the policy may improve patient-practice matching based on factors such as languages spoken, ability to meet the needs of specific ethnic </w:t>
      </w:r>
      <w:r w:rsidR="000909E6">
        <w:rPr>
          <w:rFonts w:cstheme="minorHAnsi"/>
          <w:lang w:val="en-GB"/>
        </w:rPr>
        <w:t xml:space="preserve">minority </w:t>
      </w:r>
      <w:r w:rsidR="007F5026" w:rsidRPr="008D04B1">
        <w:rPr>
          <w:rFonts w:cstheme="minorHAnsi"/>
          <w:lang w:val="en-GB"/>
        </w:rPr>
        <w:t xml:space="preserve">groups, clinical specialisation, or access to female doctors. However, this could be to the detriment of local populations if the participating practice’s list size grows so large due to out-of-area patients that they are forced to close their lists and unable to register local residents. </w:t>
      </w:r>
    </w:p>
    <w:p w14:paraId="22FE4C36" w14:textId="77777777" w:rsidR="000C1603" w:rsidRPr="008D04B1" w:rsidRDefault="000C1603" w:rsidP="00997774">
      <w:pPr>
        <w:spacing w:line="360" w:lineRule="auto"/>
        <w:rPr>
          <w:rFonts w:cstheme="minorHAnsi"/>
        </w:rPr>
      </w:pPr>
    </w:p>
    <w:p w14:paraId="10BE6ED0" w14:textId="77777777" w:rsidR="000C1603" w:rsidRPr="008D04B1" w:rsidRDefault="000C1603" w:rsidP="00997774">
      <w:pPr>
        <w:spacing w:line="360" w:lineRule="auto"/>
        <w:rPr>
          <w:rFonts w:cstheme="minorHAnsi"/>
        </w:rPr>
      </w:pPr>
      <w:r w:rsidRPr="008D04B1">
        <w:rPr>
          <w:rFonts w:cstheme="minorHAnsi"/>
        </w:rPr>
        <w:t>Opponents of</w:t>
      </w:r>
      <w:r w:rsidR="005A2B23" w:rsidRPr="008D04B1">
        <w:rPr>
          <w:rFonts w:cstheme="minorHAnsi"/>
        </w:rPr>
        <w:t xml:space="preserve"> the</w:t>
      </w:r>
      <w:r w:rsidRPr="008D04B1">
        <w:rPr>
          <w:rFonts w:cstheme="minorHAnsi"/>
        </w:rPr>
        <w:t xml:space="preserve"> scheme </w:t>
      </w:r>
      <w:r w:rsidR="007F5026" w:rsidRPr="008D04B1">
        <w:rPr>
          <w:rFonts w:cstheme="minorHAnsi"/>
        </w:rPr>
        <w:t xml:space="preserve">also </w:t>
      </w:r>
      <w:r w:rsidRPr="008D04B1">
        <w:rPr>
          <w:rFonts w:cstheme="minorHAnsi"/>
        </w:rPr>
        <w:t>argue that equity of access will be undermined i</w:t>
      </w:r>
      <w:r w:rsidR="00257AF9" w:rsidRPr="008D04B1">
        <w:rPr>
          <w:rFonts w:cstheme="minorHAnsi"/>
        </w:rPr>
        <w:t xml:space="preserve">f practices </w:t>
      </w:r>
      <w:r w:rsidRPr="008D04B1">
        <w:rPr>
          <w:rFonts w:cstheme="minorHAnsi"/>
        </w:rPr>
        <w:t>receive significant inward flows of well-to-do commuters</w:t>
      </w:r>
      <w:r w:rsidR="000909E6">
        <w:rPr>
          <w:rFonts w:cstheme="minorHAnsi"/>
        </w:rPr>
        <w:t>,</w:t>
      </w:r>
      <w:r w:rsidR="005A2B23" w:rsidRPr="008D04B1">
        <w:rPr>
          <w:rFonts w:cstheme="minorHAnsi"/>
        </w:rPr>
        <w:t xml:space="preserve"> such as</w:t>
      </w:r>
      <w:r w:rsidRPr="008D04B1">
        <w:rPr>
          <w:rFonts w:cstheme="minorHAnsi"/>
        </w:rPr>
        <w:t xml:space="preserve"> from the </w:t>
      </w:r>
      <w:r w:rsidR="005A2B23" w:rsidRPr="008D04B1">
        <w:rPr>
          <w:rFonts w:cstheme="minorHAnsi"/>
        </w:rPr>
        <w:t>H</w:t>
      </w:r>
      <w:r w:rsidRPr="008D04B1">
        <w:rPr>
          <w:rFonts w:cstheme="minorHAnsi"/>
        </w:rPr>
        <w:t xml:space="preserve">ome </w:t>
      </w:r>
      <w:r w:rsidR="005A2B23" w:rsidRPr="008D04B1">
        <w:rPr>
          <w:rFonts w:cstheme="minorHAnsi"/>
        </w:rPr>
        <w:t>C</w:t>
      </w:r>
      <w:r w:rsidRPr="008D04B1">
        <w:rPr>
          <w:rFonts w:cstheme="minorHAnsi"/>
        </w:rPr>
        <w:t>ounties</w:t>
      </w:r>
      <w:r w:rsidR="005A2B23" w:rsidRPr="008D04B1">
        <w:rPr>
          <w:rFonts w:cstheme="minorHAnsi"/>
        </w:rPr>
        <w:t xml:space="preserve"> into </w:t>
      </w:r>
      <w:r w:rsidRPr="008D04B1">
        <w:rPr>
          <w:rFonts w:cstheme="minorHAnsi"/>
        </w:rPr>
        <w:t>East London</w:t>
      </w:r>
      <w:r w:rsidR="000909E6">
        <w:rPr>
          <w:rFonts w:cstheme="minorHAnsi"/>
        </w:rPr>
        <w:t>,</w:t>
      </w:r>
      <w:r w:rsidR="005E18F8" w:rsidRPr="008D04B1">
        <w:rPr>
          <w:rFonts w:cstheme="minorHAnsi"/>
        </w:rPr>
        <w:t xml:space="preserve"> since t</w:t>
      </w:r>
      <w:r w:rsidR="0026481B" w:rsidRPr="008D04B1">
        <w:rPr>
          <w:rFonts w:cstheme="minorHAnsi"/>
        </w:rPr>
        <w:t>here is</w:t>
      </w:r>
      <w:r w:rsidR="005E18F8" w:rsidRPr="008D04B1">
        <w:rPr>
          <w:rFonts w:cstheme="minorHAnsi"/>
        </w:rPr>
        <w:t xml:space="preserve"> then</w:t>
      </w:r>
      <w:r w:rsidR="0026481B" w:rsidRPr="008D04B1">
        <w:rPr>
          <w:rFonts w:cstheme="minorHAnsi"/>
        </w:rPr>
        <w:t xml:space="preserve"> potential for </w:t>
      </w:r>
      <w:r w:rsidR="005E18F8" w:rsidRPr="008D04B1">
        <w:rPr>
          <w:rFonts w:cstheme="minorHAnsi"/>
        </w:rPr>
        <w:t>‘</w:t>
      </w:r>
      <w:r w:rsidR="0026481B" w:rsidRPr="008D04B1">
        <w:rPr>
          <w:rFonts w:cstheme="minorHAnsi"/>
        </w:rPr>
        <w:t>cream skimming</w:t>
      </w:r>
      <w:r w:rsidR="005E18F8" w:rsidRPr="008D04B1">
        <w:rPr>
          <w:rFonts w:cstheme="minorHAnsi"/>
        </w:rPr>
        <w:t>’</w:t>
      </w:r>
      <w:r w:rsidR="0026481B" w:rsidRPr="008D04B1">
        <w:rPr>
          <w:rFonts w:cstheme="minorHAnsi"/>
        </w:rPr>
        <w:t xml:space="preserve"> by GPs</w:t>
      </w:r>
      <w:r w:rsidR="00D71C09" w:rsidRPr="008D04B1">
        <w:rPr>
          <w:rFonts w:cstheme="minorHAnsi"/>
        </w:rPr>
        <w:t>, who may prefer young</w:t>
      </w:r>
      <w:r w:rsidR="005A2B23" w:rsidRPr="008D04B1">
        <w:rPr>
          <w:rFonts w:cstheme="minorHAnsi"/>
        </w:rPr>
        <w:t>er</w:t>
      </w:r>
      <w:r w:rsidR="00D71C09" w:rsidRPr="008D04B1">
        <w:rPr>
          <w:rFonts w:cstheme="minorHAnsi"/>
        </w:rPr>
        <w:t>, health</w:t>
      </w:r>
      <w:r w:rsidR="005A2B23" w:rsidRPr="008D04B1">
        <w:rPr>
          <w:rFonts w:cstheme="minorHAnsi"/>
        </w:rPr>
        <w:t>ier</w:t>
      </w:r>
      <w:r w:rsidR="00D71C09" w:rsidRPr="008D04B1">
        <w:rPr>
          <w:rFonts w:cstheme="minorHAnsi"/>
        </w:rPr>
        <w:t xml:space="preserve"> patients, especially</w:t>
      </w:r>
      <w:r w:rsidR="0026481B" w:rsidRPr="008D04B1">
        <w:rPr>
          <w:rFonts w:cstheme="minorHAnsi"/>
        </w:rPr>
        <w:t xml:space="preserve"> in areas of high deprivation</w:t>
      </w:r>
      <w:r w:rsidR="005E18F8" w:rsidRPr="008D04B1">
        <w:rPr>
          <w:rFonts w:cstheme="minorHAnsi"/>
        </w:rPr>
        <w:t>, despite the needs weighting of the capitation payment generated for the practice by each registered patient</w:t>
      </w:r>
      <w:r w:rsidR="00812C19" w:rsidRPr="008D04B1">
        <w:rPr>
          <w:rFonts w:cstheme="minorHAnsi"/>
        </w:rPr>
        <w:t xml:space="preserve"> </w:t>
      </w:r>
      <w:r w:rsidR="00EF6E4D" w:rsidRPr="008D04B1">
        <w:rPr>
          <w:rFonts w:cstheme="minorHAnsi"/>
        </w:rPr>
        <w:fldChar w:fldCharType="begin">
          <w:fldData xml:space="preserve">PEVuZE5vdGU+PENpdGU+PEF1dGhvcj5QdWxzZTwvQXV0aG9yPjxZZWFyPjIwMTI8L1llYXI+PFJl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</w:fldData>
        </w:fldChar>
      </w:r>
      <w:r w:rsidR="00A4727D">
        <w:rPr>
          <w:rFonts w:cstheme="minorHAnsi"/>
        </w:rPr>
        <w:instrText xml:space="preserve"> ADDIN EN.CITE </w:instrText>
      </w:r>
      <w:r w:rsidR="00EF6E4D">
        <w:rPr>
          <w:rFonts w:cstheme="minorHAnsi"/>
        </w:rPr>
        <w:fldChar w:fldCharType="begin">
          <w:fldData xml:space="preserve">PEVuZE5vdGU+PENpdGU+PEF1dGhvcj5QdWxzZTwvQXV0aG9yPjxZZWFyPjIwMTI8L1llYXI+PFJl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</w:fldData>
        </w:fldChar>
      </w:r>
      <w:r w:rsidR="00A4727D">
        <w:rPr>
          <w:rFonts w:cstheme="minorHAnsi"/>
        </w:rPr>
        <w:instrText xml:space="preserve"> ADDIN EN.CITE.DATA </w:instrText>
      </w:r>
      <w:r w:rsidR="00EF6E4D">
        <w:rPr>
          <w:rFonts w:cstheme="minorHAnsi"/>
        </w:rPr>
      </w:r>
      <w:r w:rsidR="00EF6E4D">
        <w:rPr>
          <w:rFonts w:cstheme="minorHAnsi"/>
        </w:rPr>
        <w:fldChar w:fldCharType="end"/>
      </w:r>
      <w:r w:rsidR="00EF6E4D" w:rsidRPr="008D04B1">
        <w:rPr>
          <w:rFonts w:cstheme="minorHAnsi"/>
        </w:rPr>
      </w:r>
      <w:r w:rsidR="00EF6E4D" w:rsidRPr="008D04B1">
        <w:rPr>
          <w:rFonts w:cstheme="minorHAnsi"/>
        </w:rPr>
        <w:fldChar w:fldCharType="separate"/>
      </w:r>
      <w:r w:rsidR="00A4727D">
        <w:rPr>
          <w:rFonts w:cstheme="minorHAnsi"/>
          <w:noProof/>
        </w:rPr>
        <w:t>(</w:t>
      </w:r>
      <w:hyperlink w:anchor="_ENREF_12" w:tooltip="Pulse, 2012 #78" w:history="1">
        <w:r w:rsidR="00A4727D">
          <w:rPr>
            <w:rFonts w:cstheme="minorHAnsi"/>
            <w:noProof/>
          </w:rPr>
          <w:t>12-14</w:t>
        </w:r>
      </w:hyperlink>
      <w:r w:rsidR="00A4727D">
        <w:rPr>
          <w:rFonts w:cstheme="minorHAnsi"/>
          <w:noProof/>
        </w:rPr>
        <w:t>)</w:t>
      </w:r>
      <w:r w:rsidR="00EF6E4D" w:rsidRPr="008D04B1">
        <w:rPr>
          <w:rFonts w:cstheme="minorHAnsi"/>
        </w:rPr>
        <w:fldChar w:fldCharType="end"/>
      </w:r>
      <w:r w:rsidR="0026481B" w:rsidRPr="008D04B1">
        <w:rPr>
          <w:rFonts w:cstheme="minorHAnsi"/>
        </w:rPr>
        <w:t>.</w:t>
      </w:r>
      <w:r w:rsidR="002F4D86" w:rsidRPr="008D04B1">
        <w:rPr>
          <w:rFonts w:cstheme="minorHAnsi"/>
        </w:rPr>
        <w:t xml:space="preserve"> </w:t>
      </w:r>
      <w:r w:rsidR="00D71C09" w:rsidRPr="008D04B1">
        <w:rPr>
          <w:rFonts w:cstheme="minorHAnsi"/>
        </w:rPr>
        <w:t>A report by the</w:t>
      </w:r>
      <w:r w:rsidR="005A2B23" w:rsidRPr="008D04B1">
        <w:rPr>
          <w:rFonts w:cstheme="minorHAnsi"/>
        </w:rPr>
        <w:t xml:space="preserve"> Corporation of the</w:t>
      </w:r>
      <w:r w:rsidR="00D71C09" w:rsidRPr="008D04B1">
        <w:rPr>
          <w:rFonts w:cstheme="minorHAnsi"/>
        </w:rPr>
        <w:t xml:space="preserve"> City of London </w:t>
      </w:r>
      <w:r w:rsidR="0026481B" w:rsidRPr="008D04B1">
        <w:rPr>
          <w:rFonts w:cstheme="minorHAnsi"/>
        </w:rPr>
        <w:t>suggested</w:t>
      </w:r>
      <w:r w:rsidR="005B5C52" w:rsidRPr="008D04B1">
        <w:rPr>
          <w:rFonts w:cstheme="minorHAnsi"/>
        </w:rPr>
        <w:t xml:space="preserve"> a more nuanced picture in which the</w:t>
      </w:r>
      <w:r w:rsidRPr="008D04B1">
        <w:rPr>
          <w:rFonts w:cstheme="minorHAnsi"/>
        </w:rPr>
        <w:t xml:space="preserve"> policy would </w:t>
      </w:r>
      <w:r w:rsidR="005A2B23" w:rsidRPr="008D04B1">
        <w:rPr>
          <w:rFonts w:cstheme="minorHAnsi"/>
        </w:rPr>
        <w:t xml:space="preserve">particularly </w:t>
      </w:r>
      <w:r w:rsidRPr="008D04B1">
        <w:rPr>
          <w:rFonts w:cstheme="minorHAnsi"/>
        </w:rPr>
        <w:t xml:space="preserve">benefit </w:t>
      </w:r>
      <w:r w:rsidR="005E18F8" w:rsidRPr="008D04B1">
        <w:rPr>
          <w:rFonts w:cstheme="minorHAnsi"/>
        </w:rPr>
        <w:t xml:space="preserve">lower paid City </w:t>
      </w:r>
      <w:r w:rsidRPr="008D04B1">
        <w:rPr>
          <w:rFonts w:cstheme="minorHAnsi"/>
        </w:rPr>
        <w:t>workers</w:t>
      </w:r>
      <w:r w:rsidR="00D71C09" w:rsidRPr="008D04B1">
        <w:rPr>
          <w:rFonts w:cstheme="minorHAnsi"/>
        </w:rPr>
        <w:t>,</w:t>
      </w:r>
      <w:r w:rsidRPr="008D04B1">
        <w:rPr>
          <w:rFonts w:cstheme="minorHAnsi"/>
        </w:rPr>
        <w:t xml:space="preserve"> who otherwise struggle to access </w:t>
      </w:r>
      <w:r w:rsidR="005A2B23" w:rsidRPr="008D04B1">
        <w:rPr>
          <w:rFonts w:cstheme="minorHAnsi"/>
        </w:rPr>
        <w:t>NHS</w:t>
      </w:r>
      <w:r w:rsidRPr="008D04B1">
        <w:rPr>
          <w:rFonts w:cstheme="minorHAnsi"/>
        </w:rPr>
        <w:t xml:space="preserve"> services for</w:t>
      </w:r>
      <w:r w:rsidR="005A2B23" w:rsidRPr="008D04B1">
        <w:rPr>
          <w:rFonts w:cstheme="minorHAnsi"/>
        </w:rPr>
        <w:t xml:space="preserve"> both</w:t>
      </w:r>
      <w:r w:rsidRPr="008D04B1">
        <w:rPr>
          <w:rFonts w:cstheme="minorHAnsi"/>
        </w:rPr>
        <w:t xml:space="preserve"> routine and</w:t>
      </w:r>
      <w:r w:rsidR="005A2B23" w:rsidRPr="008D04B1">
        <w:rPr>
          <w:rFonts w:cstheme="minorHAnsi"/>
        </w:rPr>
        <w:t xml:space="preserve"> more </w:t>
      </w:r>
      <w:r w:rsidRPr="008D04B1">
        <w:rPr>
          <w:rFonts w:cstheme="minorHAnsi"/>
        </w:rPr>
        <w:t>urgent care</w:t>
      </w:r>
      <w:r w:rsidR="00D71C09" w:rsidRPr="008D04B1">
        <w:rPr>
          <w:rFonts w:cstheme="minorHAnsi"/>
        </w:rPr>
        <w:t>,</w:t>
      </w:r>
      <w:r w:rsidR="005B5C52" w:rsidRPr="008D04B1">
        <w:rPr>
          <w:rFonts w:cstheme="minorHAnsi"/>
        </w:rPr>
        <w:t xml:space="preserve"> as well as</w:t>
      </w:r>
      <w:r w:rsidR="00D71C09" w:rsidRPr="008D04B1">
        <w:rPr>
          <w:rFonts w:cstheme="minorHAnsi"/>
        </w:rPr>
        <w:t xml:space="preserve"> higher income</w:t>
      </w:r>
      <w:r w:rsidR="0026481B" w:rsidRPr="008D04B1">
        <w:rPr>
          <w:rFonts w:cstheme="minorHAnsi"/>
        </w:rPr>
        <w:t xml:space="preserve"> commuters</w:t>
      </w:r>
      <w:r w:rsidR="00D71C09" w:rsidRPr="008D04B1">
        <w:rPr>
          <w:rFonts w:cstheme="minorHAnsi"/>
        </w:rPr>
        <w:t>,</w:t>
      </w:r>
      <w:r w:rsidR="0026481B" w:rsidRPr="008D04B1">
        <w:rPr>
          <w:rFonts w:cstheme="minorHAnsi"/>
        </w:rPr>
        <w:t xml:space="preserve"> who </w:t>
      </w:r>
      <w:r w:rsidR="00D71C09" w:rsidRPr="008D04B1">
        <w:rPr>
          <w:rFonts w:cstheme="minorHAnsi"/>
        </w:rPr>
        <w:t>expressed a</w:t>
      </w:r>
      <w:r w:rsidR="005B5C52" w:rsidRPr="008D04B1">
        <w:rPr>
          <w:rFonts w:cstheme="minorHAnsi"/>
        </w:rPr>
        <w:t xml:space="preserve"> particular</w:t>
      </w:r>
      <w:r w:rsidR="00D71C09" w:rsidRPr="008D04B1">
        <w:rPr>
          <w:rFonts w:cstheme="minorHAnsi"/>
        </w:rPr>
        <w:t xml:space="preserve"> need for</w:t>
      </w:r>
      <w:r w:rsidR="00B27D7A" w:rsidRPr="008D04B1">
        <w:rPr>
          <w:rFonts w:cstheme="minorHAnsi"/>
        </w:rPr>
        <w:t xml:space="preserve"> services</w:t>
      </w:r>
      <w:r w:rsidR="005E18F8" w:rsidRPr="008D04B1">
        <w:rPr>
          <w:rFonts w:cstheme="minorHAnsi"/>
        </w:rPr>
        <w:t xml:space="preserve"> close to work</w:t>
      </w:r>
      <w:r w:rsidR="00B27D7A" w:rsidRPr="008D04B1">
        <w:rPr>
          <w:rFonts w:cstheme="minorHAnsi"/>
        </w:rPr>
        <w:t xml:space="preserve"> that address stress, anxiety and depression</w:t>
      </w:r>
      <w:r w:rsidR="0075264F" w:rsidRPr="008D04B1">
        <w:rPr>
          <w:rFonts w:cstheme="minorHAnsi"/>
        </w:rPr>
        <w:t xml:space="preserve"> </w:t>
      </w:r>
      <w:r w:rsidR="00EF6E4D" w:rsidRPr="008D04B1">
        <w:rPr>
          <w:rFonts w:cstheme="minorHAnsi"/>
        </w:rPr>
        <w:fldChar w:fldCharType="begin"/>
      </w:r>
      <w:r w:rsidR="00A4727D">
        <w:rPr>
          <w:rFonts w:cstheme="minorHAnsi"/>
        </w:rPr>
        <w:instrText xml:space="preserve"> ADDIN EN.CITE &lt;EndNote&gt;&lt;Cite&gt;&lt;Author&gt;Pyper&lt;/Author&gt;&lt;Year&gt;2012&lt;/Year&gt;&lt;RecNum&gt;76&lt;/RecNum&gt;&lt;DisplayText&gt;(15)&lt;/DisplayText&gt;&lt;record&gt;&lt;rec-number&gt;76&lt;/rec-number&gt;&lt;foreign-keys&gt;&lt;key app="EN" db-id="ptdswpda0va5vqe5pzg5w50lf0txassaw0zx"&gt;76&lt;/key&gt;&lt;/foreign-keys&gt;&lt;ref-type name="Press Release"&gt;63&lt;/ref-type&gt;&lt;contributors&gt;&lt;authors&gt;&lt;author&gt;Pyper, Cecilia&lt;/author&gt;&lt;author&gt;Mayhew, Les&lt;/author&gt;&lt;author&gt;Pyper, Ryngan&lt;/author&gt;&lt;author&gt;Pyper, Torquil&lt;/author&gt;&lt;/authors&gt;&lt;/contributors&gt;&lt;titles&gt;&lt;title&gt;The public health and primary healthcare needs of city workers&lt;/title&gt;&lt;/titles&gt;&lt;dates&gt;&lt;year&gt;2012&lt;/year&gt;&lt;pub-dates&gt;&lt;date&gt;May 2012&lt;/date&gt;&lt;/pub-dates&gt;&lt;/dates&gt;&lt;pub-location&gt;London&lt;/pub-location&gt;&lt;publisher&gt;City of London&lt;/publisher&gt;&lt;urls&gt;&lt;related-urls&gt;&lt;url&gt;www.cityoflondon.gov.uk/business/economic-research-and-information/research-publications/Documents/research-2012/The%20Public%20Health%20and%20Primary%20Healthcare%20Needs%20of%20City%20Workers.pdf&lt;/url&gt;&lt;/related-urls&gt;&lt;/urls&gt;&lt;/record&gt;&lt;/Cite&gt;&lt;/EndNote&gt;</w:instrText>
      </w:r>
      <w:r w:rsidR="00EF6E4D" w:rsidRPr="008D04B1">
        <w:rPr>
          <w:rFonts w:cstheme="minorHAnsi"/>
        </w:rPr>
        <w:fldChar w:fldCharType="separate"/>
      </w:r>
      <w:r w:rsidR="00A4727D">
        <w:rPr>
          <w:rFonts w:cstheme="minorHAnsi"/>
          <w:noProof/>
        </w:rPr>
        <w:t>(</w:t>
      </w:r>
      <w:hyperlink w:anchor="_ENREF_15" w:tooltip="Pyper, 2012 #76" w:history="1">
        <w:r w:rsidR="00A4727D">
          <w:rPr>
            <w:rFonts w:cstheme="minorHAnsi"/>
            <w:noProof/>
          </w:rPr>
          <w:t>15</w:t>
        </w:r>
      </w:hyperlink>
      <w:r w:rsidR="00A4727D">
        <w:rPr>
          <w:rFonts w:cstheme="minorHAnsi"/>
          <w:noProof/>
        </w:rPr>
        <w:t>)</w:t>
      </w:r>
      <w:r w:rsidR="00EF6E4D" w:rsidRPr="008D04B1">
        <w:rPr>
          <w:rFonts w:cstheme="minorHAnsi"/>
        </w:rPr>
        <w:fldChar w:fldCharType="end"/>
      </w:r>
      <w:r w:rsidR="004034E8" w:rsidRPr="008D04B1">
        <w:rPr>
          <w:rFonts w:cstheme="minorHAnsi"/>
        </w:rPr>
        <w:t>.</w:t>
      </w:r>
      <w:r w:rsidRPr="008D04B1">
        <w:rPr>
          <w:rFonts w:cstheme="minorHAnsi"/>
        </w:rPr>
        <w:t xml:space="preserve"> </w:t>
      </w:r>
    </w:p>
    <w:p w14:paraId="74ADE811" w14:textId="77777777" w:rsidR="00F05908" w:rsidRPr="008D04B1" w:rsidRDefault="00F05908" w:rsidP="001934AA">
      <w:pPr>
        <w:spacing w:line="360" w:lineRule="auto"/>
        <w:rPr>
          <w:rFonts w:cstheme="minorHAnsi"/>
        </w:rPr>
      </w:pPr>
    </w:p>
    <w:p w14:paraId="4EACD175" w14:textId="77777777" w:rsidR="00D4391A" w:rsidRPr="008D04B1" w:rsidRDefault="005B5C52" w:rsidP="001934AA">
      <w:pPr>
        <w:spacing w:line="360" w:lineRule="auto"/>
        <w:rPr>
          <w:rFonts w:cstheme="minorHAnsi"/>
        </w:rPr>
      </w:pPr>
      <w:r w:rsidRPr="008D04B1">
        <w:rPr>
          <w:rFonts w:cstheme="minorHAnsi"/>
        </w:rPr>
        <w:t>Another potential equity-related</w:t>
      </w:r>
      <w:r w:rsidR="00F05908" w:rsidRPr="008D04B1">
        <w:rPr>
          <w:rFonts w:cstheme="minorHAnsi"/>
        </w:rPr>
        <w:t xml:space="preserve"> </w:t>
      </w:r>
      <w:r w:rsidR="00F227A9" w:rsidRPr="008D04B1">
        <w:rPr>
          <w:rFonts w:cstheme="minorHAnsi"/>
        </w:rPr>
        <w:t>impact</w:t>
      </w:r>
      <w:r w:rsidRPr="008D04B1">
        <w:rPr>
          <w:rFonts w:cstheme="minorHAnsi"/>
        </w:rPr>
        <w:t xml:space="preserve"> relates to the</w:t>
      </w:r>
      <w:r w:rsidR="00257AF9" w:rsidRPr="008D04B1">
        <w:rPr>
          <w:rFonts w:cstheme="minorHAnsi"/>
        </w:rPr>
        <w:t xml:space="preserve"> risk pooling</w:t>
      </w:r>
      <w:r w:rsidR="00834302" w:rsidRPr="008D04B1">
        <w:rPr>
          <w:rFonts w:cstheme="minorHAnsi"/>
        </w:rPr>
        <w:t xml:space="preserve"> that occurs in</w:t>
      </w:r>
      <w:r w:rsidR="00257AF9" w:rsidRPr="008D04B1">
        <w:rPr>
          <w:rFonts w:cstheme="minorHAnsi"/>
        </w:rPr>
        <w:t xml:space="preserve"> practices.</w:t>
      </w:r>
      <w:r w:rsidR="002F4D86" w:rsidRPr="008D04B1">
        <w:rPr>
          <w:rFonts w:cstheme="minorHAnsi"/>
        </w:rPr>
        <w:t xml:space="preserve"> </w:t>
      </w:r>
      <w:r w:rsidR="000C1F54" w:rsidRPr="008D04B1">
        <w:rPr>
          <w:rFonts w:cstheme="minorHAnsi"/>
        </w:rPr>
        <w:t xml:space="preserve"> </w:t>
      </w:r>
      <w:r w:rsidR="00257AF9" w:rsidRPr="008D04B1">
        <w:rPr>
          <w:rFonts w:cstheme="minorHAnsi"/>
        </w:rPr>
        <w:t>I</w:t>
      </w:r>
      <w:r w:rsidR="000C1F54" w:rsidRPr="008D04B1">
        <w:rPr>
          <w:rFonts w:cstheme="minorHAnsi"/>
        </w:rPr>
        <w:t xml:space="preserve">f young </w:t>
      </w:r>
      <w:r w:rsidR="00257AF9" w:rsidRPr="008D04B1">
        <w:rPr>
          <w:rFonts w:cstheme="minorHAnsi"/>
        </w:rPr>
        <w:t>(typically healthy) rural</w:t>
      </w:r>
      <w:r w:rsidR="000A062A" w:rsidRPr="008D04B1">
        <w:rPr>
          <w:rFonts w:cstheme="minorHAnsi"/>
        </w:rPr>
        <w:t xml:space="preserve"> or suburban</w:t>
      </w:r>
      <w:r w:rsidR="00257AF9" w:rsidRPr="008D04B1">
        <w:rPr>
          <w:rFonts w:cstheme="minorHAnsi"/>
        </w:rPr>
        <w:t xml:space="preserve"> </w:t>
      </w:r>
      <w:r w:rsidR="000C1F54" w:rsidRPr="008D04B1">
        <w:rPr>
          <w:rFonts w:cstheme="minorHAnsi"/>
        </w:rPr>
        <w:t>commuters register at a</w:t>
      </w:r>
      <w:r w:rsidR="002F4D86" w:rsidRPr="008D04B1">
        <w:rPr>
          <w:rFonts w:cstheme="minorHAnsi"/>
        </w:rPr>
        <w:t xml:space="preserve"> </w:t>
      </w:r>
      <w:r w:rsidR="000A062A" w:rsidRPr="008D04B1">
        <w:rPr>
          <w:rFonts w:cstheme="minorHAnsi"/>
        </w:rPr>
        <w:t>central city</w:t>
      </w:r>
      <w:r w:rsidR="000C1F54" w:rsidRPr="008D04B1">
        <w:rPr>
          <w:rFonts w:cstheme="minorHAnsi"/>
        </w:rPr>
        <w:t xml:space="preserve"> practice,</w:t>
      </w:r>
      <w:r w:rsidR="002F4D86" w:rsidRPr="008D04B1">
        <w:rPr>
          <w:rFonts w:cstheme="minorHAnsi"/>
        </w:rPr>
        <w:t xml:space="preserve"> </w:t>
      </w:r>
      <w:r w:rsidRPr="008D04B1">
        <w:rPr>
          <w:rFonts w:cstheme="minorHAnsi"/>
        </w:rPr>
        <w:t>local rural</w:t>
      </w:r>
      <w:r w:rsidR="000A062A" w:rsidRPr="008D04B1">
        <w:rPr>
          <w:rFonts w:cstheme="minorHAnsi"/>
        </w:rPr>
        <w:t>/suburban</w:t>
      </w:r>
      <w:r w:rsidRPr="008D04B1">
        <w:rPr>
          <w:rFonts w:cstheme="minorHAnsi"/>
        </w:rPr>
        <w:t xml:space="preserve"> </w:t>
      </w:r>
      <w:r w:rsidR="008E5B38" w:rsidRPr="008D04B1">
        <w:rPr>
          <w:rFonts w:cstheme="minorHAnsi"/>
        </w:rPr>
        <w:t>practice</w:t>
      </w:r>
      <w:r w:rsidRPr="008D04B1">
        <w:rPr>
          <w:rFonts w:cstheme="minorHAnsi"/>
        </w:rPr>
        <w:t>s</w:t>
      </w:r>
      <w:r w:rsidR="008E5B38" w:rsidRPr="008D04B1">
        <w:rPr>
          <w:rFonts w:cstheme="minorHAnsi"/>
        </w:rPr>
        <w:t xml:space="preserve"> could end</w:t>
      </w:r>
      <w:r w:rsidR="00AD6A88" w:rsidRPr="008D04B1">
        <w:rPr>
          <w:rFonts w:cstheme="minorHAnsi"/>
        </w:rPr>
        <w:t xml:space="preserve"> up with a </w:t>
      </w:r>
      <w:r w:rsidR="00AD6A88" w:rsidRPr="008D04B1">
        <w:rPr>
          <w:rFonts w:cstheme="minorHAnsi"/>
        </w:rPr>
        <w:lastRenderedPageBreak/>
        <w:t xml:space="preserve">disproportionate number of </w:t>
      </w:r>
      <w:r w:rsidR="00257AF9" w:rsidRPr="008D04B1">
        <w:rPr>
          <w:rFonts w:cstheme="minorHAnsi"/>
        </w:rPr>
        <w:t xml:space="preserve">higher-use </w:t>
      </w:r>
      <w:r w:rsidR="009303D1" w:rsidRPr="008D04B1">
        <w:rPr>
          <w:rFonts w:cstheme="minorHAnsi"/>
        </w:rPr>
        <w:t>older patients</w:t>
      </w:r>
      <w:r w:rsidR="00AD6A88" w:rsidRPr="008D04B1">
        <w:rPr>
          <w:rFonts w:cstheme="minorHAnsi"/>
        </w:rPr>
        <w:t>, patients with</w:t>
      </w:r>
      <w:r w:rsidR="009303D1" w:rsidRPr="008D04B1">
        <w:rPr>
          <w:rFonts w:cstheme="minorHAnsi"/>
        </w:rPr>
        <w:t xml:space="preserve"> chronic conditions</w:t>
      </w:r>
      <w:r w:rsidR="00AD6A88" w:rsidRPr="008D04B1">
        <w:rPr>
          <w:rFonts w:cstheme="minorHAnsi"/>
        </w:rPr>
        <w:t xml:space="preserve"> and children.</w:t>
      </w:r>
      <w:r w:rsidR="002F4D86" w:rsidRPr="008D04B1">
        <w:rPr>
          <w:rFonts w:cstheme="minorHAnsi"/>
        </w:rPr>
        <w:t xml:space="preserve"> </w:t>
      </w:r>
      <w:r w:rsidRPr="008D04B1">
        <w:rPr>
          <w:rFonts w:cstheme="minorHAnsi"/>
        </w:rPr>
        <w:t>At its worst, t</w:t>
      </w:r>
      <w:r w:rsidR="00AD6A88" w:rsidRPr="008D04B1">
        <w:rPr>
          <w:rFonts w:cstheme="minorHAnsi"/>
        </w:rPr>
        <w:t>his</w:t>
      </w:r>
      <w:r w:rsidRPr="008D04B1">
        <w:rPr>
          <w:rFonts w:cstheme="minorHAnsi"/>
        </w:rPr>
        <w:t xml:space="preserve"> could</w:t>
      </w:r>
      <w:r w:rsidR="00F05908" w:rsidRPr="008D04B1">
        <w:rPr>
          <w:rFonts w:cstheme="minorHAnsi"/>
        </w:rPr>
        <w:t xml:space="preserve"> compromise a practice’s financial viability</w:t>
      </w:r>
      <w:r w:rsidR="00B368E3" w:rsidRPr="008D04B1">
        <w:rPr>
          <w:rFonts w:cstheme="minorHAnsi"/>
        </w:rPr>
        <w:t>, especially</w:t>
      </w:r>
      <w:r w:rsidR="00AD6A88" w:rsidRPr="008D04B1">
        <w:rPr>
          <w:rFonts w:cstheme="minorHAnsi"/>
        </w:rPr>
        <w:t xml:space="preserve"> as the</w:t>
      </w:r>
      <w:r w:rsidR="00360200" w:rsidRPr="008D04B1">
        <w:rPr>
          <w:rFonts w:cstheme="minorHAnsi"/>
        </w:rPr>
        <w:t xml:space="preserve"> Minimum Practice Income Guarantee (MPIG)</w:t>
      </w:r>
      <w:r w:rsidR="00AD6A88" w:rsidRPr="008D04B1">
        <w:rPr>
          <w:rFonts w:cstheme="minorHAnsi"/>
        </w:rPr>
        <w:t xml:space="preserve"> </w:t>
      </w:r>
      <w:r w:rsidRPr="008D04B1">
        <w:rPr>
          <w:rFonts w:cstheme="minorHAnsi"/>
        </w:rPr>
        <w:t>has been</w:t>
      </w:r>
      <w:r w:rsidR="00AD6A88" w:rsidRPr="008D04B1">
        <w:rPr>
          <w:rFonts w:cstheme="minorHAnsi"/>
        </w:rPr>
        <w:t xml:space="preserve"> phased out</w:t>
      </w:r>
      <w:r w:rsidR="00812C19" w:rsidRPr="008D04B1">
        <w:rPr>
          <w:rFonts w:cstheme="minorHAnsi"/>
        </w:rPr>
        <w:t xml:space="preserve"> </w:t>
      </w:r>
      <w:r w:rsidR="00EF6E4D" w:rsidRPr="008D04B1">
        <w:rPr>
          <w:rFonts w:cstheme="minorHAnsi"/>
        </w:rPr>
        <w:fldChar w:fldCharType="begin"/>
      </w:r>
      <w:r w:rsidR="00A4727D">
        <w:rPr>
          <w:rFonts w:cstheme="minorHAnsi"/>
        </w:rPr>
        <w:instrText xml:space="preserve"> ADDIN EN.CITE &lt;EndNote&gt;&lt;Cite&gt;&lt;Author&gt;British Medical Association&lt;/Author&gt;&lt;Year&gt;2014&lt;/Year&gt;&lt;RecNum&gt;77&lt;/RecNum&gt;&lt;DisplayText&gt;(16)&lt;/DisplayText&gt;&lt;record&gt;&lt;rec-number&gt;77&lt;/rec-number&gt;&lt;foreign-keys&gt;&lt;key app="EN" db-id="ptdswpda0va5vqe5pzg5w50lf0txassaw0zx"&gt;77&lt;/key&gt;&lt;/foreign-keys&gt;&lt;ref-type name="Web Page"&gt;12&lt;/ref-type&gt;&lt;contributors&gt;&lt;authors&gt;&lt;author&gt;British Medical Association,&lt;/author&gt;&lt;/authors&gt;&lt;/contributors&gt;&lt;titles&gt;&lt;title&gt;Funding changes will close practices, warn doctors leaders&lt;/title&gt;&lt;/titles&gt;&lt;dates&gt;&lt;year&gt;2014&lt;/year&gt;&lt;pub-dates&gt;&lt;date&gt;22 May 2014&lt;/date&gt;&lt;/pub-dates&gt;&lt;/dates&gt;&lt;publisher&gt;British Medical Association&lt;/publisher&gt;&lt;urls&gt;&lt;related-urls&gt;&lt;url&gt;http://bma.org.uk/news-views-analysis/news/2014/may/funding-changes-will-close-practices-warn-doctors-leaders&lt;/url&gt;&lt;/related-urls&gt;&lt;/urls&gt;&lt;/record&gt;&lt;/Cite&gt;&lt;/EndNote&gt;</w:instrText>
      </w:r>
      <w:r w:rsidR="00EF6E4D" w:rsidRPr="008D04B1">
        <w:rPr>
          <w:rFonts w:cstheme="minorHAnsi"/>
        </w:rPr>
        <w:fldChar w:fldCharType="separate"/>
      </w:r>
      <w:r w:rsidR="00A4727D">
        <w:rPr>
          <w:rFonts w:cstheme="minorHAnsi"/>
          <w:noProof/>
        </w:rPr>
        <w:t>(</w:t>
      </w:r>
      <w:hyperlink w:anchor="_ENREF_16" w:tooltip="British Medical Association, 2014 #77" w:history="1">
        <w:r w:rsidR="00A4727D">
          <w:rPr>
            <w:rFonts w:cstheme="minorHAnsi"/>
            <w:noProof/>
          </w:rPr>
          <w:t>16</w:t>
        </w:r>
      </w:hyperlink>
      <w:r w:rsidR="00A4727D">
        <w:rPr>
          <w:rFonts w:cstheme="minorHAnsi"/>
          <w:noProof/>
        </w:rPr>
        <w:t>)</w:t>
      </w:r>
      <w:r w:rsidR="00EF6E4D" w:rsidRPr="008D04B1">
        <w:rPr>
          <w:rFonts w:cstheme="minorHAnsi"/>
        </w:rPr>
        <w:fldChar w:fldCharType="end"/>
      </w:r>
      <w:r w:rsidR="00F05908" w:rsidRPr="008D04B1">
        <w:rPr>
          <w:rFonts w:cstheme="minorHAnsi"/>
        </w:rPr>
        <w:t>.</w:t>
      </w:r>
      <w:r w:rsidR="002F4D86" w:rsidRPr="008D04B1">
        <w:rPr>
          <w:rFonts w:cstheme="minorHAnsi"/>
        </w:rPr>
        <w:t xml:space="preserve"> </w:t>
      </w:r>
      <w:r w:rsidRPr="008D04B1" w:rsidDel="005B5C52">
        <w:rPr>
          <w:rFonts w:cstheme="minorHAnsi"/>
        </w:rPr>
        <w:t xml:space="preserve"> </w:t>
      </w:r>
    </w:p>
    <w:p w14:paraId="56EC43F4" w14:textId="77777777" w:rsidR="00697192" w:rsidRPr="008D04B1" w:rsidRDefault="00697192" w:rsidP="001934AA">
      <w:pPr>
        <w:spacing w:line="360" w:lineRule="auto"/>
        <w:rPr>
          <w:rFonts w:cstheme="minorHAnsi"/>
        </w:rPr>
      </w:pPr>
    </w:p>
    <w:p w14:paraId="40F7C84C" w14:textId="692B197D" w:rsidR="00D4391A" w:rsidRPr="008D04B1" w:rsidRDefault="00D4391A" w:rsidP="001934AA">
      <w:pPr>
        <w:spacing w:line="360" w:lineRule="auto"/>
        <w:rPr>
          <w:rFonts w:cstheme="minorHAnsi"/>
        </w:rPr>
      </w:pPr>
      <w:r w:rsidRPr="008D04B1">
        <w:rPr>
          <w:rFonts w:cstheme="minorHAnsi"/>
        </w:rPr>
        <w:t>A final potential equity issue relates to the</w:t>
      </w:r>
      <w:r w:rsidR="00014350">
        <w:rPr>
          <w:rFonts w:cstheme="minorHAnsi"/>
        </w:rPr>
        <w:t xml:space="preserve"> additional complexity which the policy is likely to generate for the</w:t>
      </w:r>
      <w:r w:rsidR="008D655A" w:rsidRPr="008D04B1">
        <w:rPr>
          <w:rFonts w:cstheme="minorHAnsi"/>
        </w:rPr>
        <w:t xml:space="preserve"> population</w:t>
      </w:r>
      <w:r w:rsidRPr="008D04B1">
        <w:rPr>
          <w:rFonts w:cstheme="minorHAnsi"/>
        </w:rPr>
        <w:t xml:space="preserve"> funding of</w:t>
      </w:r>
      <w:r w:rsidR="00A86E71">
        <w:rPr>
          <w:rFonts w:cstheme="minorHAnsi"/>
        </w:rPr>
        <w:t xml:space="preserve"> </w:t>
      </w:r>
      <w:r w:rsidRPr="008D04B1">
        <w:rPr>
          <w:rFonts w:cstheme="minorHAnsi"/>
        </w:rPr>
        <w:t>CCGs</w:t>
      </w:r>
      <w:r w:rsidR="00A86E71">
        <w:rPr>
          <w:rFonts w:cstheme="minorHAnsi"/>
        </w:rPr>
        <w:t xml:space="preserve"> </w:t>
      </w:r>
      <w:r w:rsidR="00014350">
        <w:rPr>
          <w:rFonts w:cstheme="minorHAnsi"/>
        </w:rPr>
        <w:t>(</w:t>
      </w:r>
      <w:r w:rsidR="00D2707A">
        <w:rPr>
          <w:rFonts w:cstheme="minorHAnsi"/>
        </w:rPr>
        <w:t xml:space="preserve">the </w:t>
      </w:r>
      <w:r w:rsidR="00C225CC">
        <w:rPr>
          <w:rFonts w:cstheme="minorHAnsi"/>
        </w:rPr>
        <w:t>successor organisations to</w:t>
      </w:r>
      <w:r w:rsidR="00A86E71">
        <w:rPr>
          <w:rFonts w:cstheme="minorHAnsi"/>
        </w:rPr>
        <w:t xml:space="preserve"> </w:t>
      </w:r>
      <w:r w:rsidR="006369D9">
        <w:rPr>
          <w:rFonts w:cstheme="minorHAnsi"/>
        </w:rPr>
        <w:t>PCT</w:t>
      </w:r>
      <w:r w:rsidR="00D2707A">
        <w:rPr>
          <w:rFonts w:cstheme="minorHAnsi"/>
        </w:rPr>
        <w:t>s</w:t>
      </w:r>
      <w:r w:rsidR="006369D9">
        <w:rPr>
          <w:rFonts w:cstheme="minorHAnsi"/>
        </w:rPr>
        <w:t>)</w:t>
      </w:r>
      <w:r w:rsidR="008657D3">
        <w:rPr>
          <w:rFonts w:cstheme="minorHAnsi"/>
        </w:rPr>
        <w:t xml:space="preserve"> and individual practices</w:t>
      </w:r>
      <w:r w:rsidR="00834302" w:rsidRPr="008D04B1">
        <w:rPr>
          <w:rFonts w:cstheme="minorHAnsi"/>
        </w:rPr>
        <w:t xml:space="preserve">.  In the Pilot, </w:t>
      </w:r>
      <w:r w:rsidRPr="008D04B1">
        <w:rPr>
          <w:rFonts w:cstheme="minorHAnsi"/>
        </w:rPr>
        <w:t>the costs of</w:t>
      </w:r>
      <w:r w:rsidR="008D655A" w:rsidRPr="008D04B1">
        <w:rPr>
          <w:rFonts w:cstheme="minorHAnsi"/>
        </w:rPr>
        <w:t xml:space="preserve"> drugs, diagnostics and referred services incurred by out-of-area patients registered with practices in</w:t>
      </w:r>
      <w:r w:rsidR="00834302" w:rsidRPr="008D04B1">
        <w:rPr>
          <w:rFonts w:cstheme="minorHAnsi"/>
        </w:rPr>
        <w:t xml:space="preserve"> a</w:t>
      </w:r>
      <w:r w:rsidR="008D655A" w:rsidRPr="008D04B1">
        <w:rPr>
          <w:rFonts w:cstheme="minorHAnsi"/>
        </w:rPr>
        <w:t xml:space="preserve"> </w:t>
      </w:r>
      <w:r w:rsidR="00834302" w:rsidRPr="008D04B1">
        <w:rPr>
          <w:rFonts w:cstheme="minorHAnsi"/>
        </w:rPr>
        <w:t xml:space="preserve">pilot </w:t>
      </w:r>
      <w:r w:rsidR="008D655A" w:rsidRPr="008D04B1">
        <w:rPr>
          <w:rFonts w:cstheme="minorHAnsi"/>
        </w:rPr>
        <w:t>area</w:t>
      </w:r>
      <w:r w:rsidR="00834302" w:rsidRPr="008D04B1">
        <w:rPr>
          <w:rFonts w:cstheme="minorHAnsi"/>
        </w:rPr>
        <w:t xml:space="preserve"> were met by the local commissioner for the area</w:t>
      </w:r>
      <w:r w:rsidR="008D655A" w:rsidRPr="008D04B1">
        <w:rPr>
          <w:rFonts w:cstheme="minorHAnsi"/>
        </w:rPr>
        <w:t>.</w:t>
      </w:r>
      <w:r w:rsidR="002F4D86" w:rsidRPr="008D04B1">
        <w:rPr>
          <w:rFonts w:cstheme="minorHAnsi"/>
        </w:rPr>
        <w:t xml:space="preserve"> </w:t>
      </w:r>
      <w:r w:rsidR="00834302" w:rsidRPr="008D04B1">
        <w:rPr>
          <w:rFonts w:cstheme="minorHAnsi"/>
        </w:rPr>
        <w:t xml:space="preserve"> If</w:t>
      </w:r>
      <w:r w:rsidR="0011275F" w:rsidRPr="008D04B1">
        <w:rPr>
          <w:rFonts w:cstheme="minorHAnsi"/>
        </w:rPr>
        <w:t xml:space="preserve"> </w:t>
      </w:r>
      <w:r w:rsidR="00834302" w:rsidRPr="008D04B1">
        <w:rPr>
          <w:rFonts w:cstheme="minorHAnsi"/>
        </w:rPr>
        <w:t>this approach continues in the roll-out, i</w:t>
      </w:r>
      <w:r w:rsidR="008D655A" w:rsidRPr="008D04B1">
        <w:rPr>
          <w:rFonts w:cstheme="minorHAnsi"/>
        </w:rPr>
        <w:t>nequities in funding</w:t>
      </w:r>
      <w:r w:rsidR="00834302" w:rsidRPr="008D04B1">
        <w:rPr>
          <w:rFonts w:cstheme="minorHAnsi"/>
        </w:rPr>
        <w:t xml:space="preserve"> between CCGs</w:t>
      </w:r>
      <w:r w:rsidR="008D655A" w:rsidRPr="008D04B1">
        <w:rPr>
          <w:rFonts w:cstheme="minorHAnsi"/>
        </w:rPr>
        <w:t xml:space="preserve"> may arise if CCG populations</w:t>
      </w:r>
      <w:r w:rsidR="008657D3">
        <w:rPr>
          <w:rFonts w:cstheme="minorHAnsi"/>
        </w:rPr>
        <w:t>,</w:t>
      </w:r>
      <w:r w:rsidR="008D655A" w:rsidRPr="008D04B1">
        <w:rPr>
          <w:rFonts w:cstheme="minorHAnsi"/>
        </w:rPr>
        <w:t xml:space="preserve"> and their profiles of health care need</w:t>
      </w:r>
      <w:r w:rsidR="008657D3">
        <w:rPr>
          <w:rFonts w:cstheme="minorHAnsi"/>
        </w:rPr>
        <w:t xml:space="preserve"> and use</w:t>
      </w:r>
      <w:r w:rsidR="00014350">
        <w:rPr>
          <w:rFonts w:cstheme="minorHAnsi"/>
        </w:rPr>
        <w:t xml:space="preserve"> no longer match the actual populations using services in their areas.</w:t>
      </w:r>
      <w:r w:rsidR="008657D3">
        <w:rPr>
          <w:rFonts w:cstheme="minorHAnsi"/>
        </w:rPr>
        <w:t xml:space="preserve">  </w:t>
      </w:r>
      <w:r w:rsidR="006F1633">
        <w:rPr>
          <w:rFonts w:cstheme="minorHAnsi"/>
        </w:rPr>
        <w:t>Even i</w:t>
      </w:r>
      <w:r w:rsidR="008657D3">
        <w:rPr>
          <w:rFonts w:cstheme="minorHAnsi"/>
        </w:rPr>
        <w:t>f resources follow the out-of-area patient, it is still important that</w:t>
      </w:r>
      <w:r w:rsidR="008D655A" w:rsidRPr="008D04B1">
        <w:rPr>
          <w:rFonts w:cstheme="minorHAnsi"/>
        </w:rPr>
        <w:t xml:space="preserve"> up-to-date</w:t>
      </w:r>
      <w:r w:rsidR="008657D3">
        <w:rPr>
          <w:rFonts w:cstheme="minorHAnsi"/>
        </w:rPr>
        <w:t xml:space="preserve"> information is available on</w:t>
      </w:r>
      <w:r w:rsidR="008D655A" w:rsidRPr="008D04B1">
        <w:rPr>
          <w:rFonts w:cstheme="minorHAnsi"/>
        </w:rPr>
        <w:t xml:space="preserve"> patients</w:t>
      </w:r>
      <w:r w:rsidR="008657D3">
        <w:rPr>
          <w:rFonts w:cstheme="minorHAnsi"/>
        </w:rPr>
        <w:t xml:space="preserve"> as they</w:t>
      </w:r>
      <w:r w:rsidR="008D655A" w:rsidRPr="008D04B1">
        <w:rPr>
          <w:rFonts w:cstheme="minorHAnsi"/>
        </w:rPr>
        <w:t xml:space="preserve"> move between practices and across CCG boundaries</w:t>
      </w:r>
      <w:r w:rsidR="00834302" w:rsidRPr="008D04B1">
        <w:rPr>
          <w:rFonts w:cstheme="minorHAnsi"/>
        </w:rPr>
        <w:t>, and as they use services both through their registered practice and near home</w:t>
      </w:r>
      <w:r w:rsidR="008D655A" w:rsidRPr="008D04B1">
        <w:rPr>
          <w:rFonts w:cstheme="minorHAnsi"/>
        </w:rPr>
        <w:t>.</w:t>
      </w:r>
      <w:r w:rsidR="002F4D86" w:rsidRPr="008D04B1">
        <w:rPr>
          <w:rFonts w:cstheme="minorHAnsi"/>
        </w:rPr>
        <w:t xml:space="preserve"> </w:t>
      </w:r>
      <w:r w:rsidR="008657D3">
        <w:rPr>
          <w:rFonts w:cstheme="minorHAnsi"/>
        </w:rPr>
        <w:t>The new policy also places greater pressure on the formula used to allocate per patient funding to practices.  W</w:t>
      </w:r>
      <w:r w:rsidR="008D655A" w:rsidRPr="008D04B1">
        <w:rPr>
          <w:rFonts w:cstheme="minorHAnsi"/>
        </w:rPr>
        <w:t>hen practices largely maintain geographic catchments</w:t>
      </w:r>
      <w:r w:rsidR="008657D3">
        <w:rPr>
          <w:rFonts w:cstheme="minorHAnsi"/>
        </w:rPr>
        <w:t>, practice populations are more likely to have a mix of more and less healthy and needy people meaning that there is a degree of cross-subsidisation between patients, thereby reducing the requirement for a high degree of accuracy in calculating how much funding each patient should attract</w:t>
      </w:r>
      <w:r w:rsidR="008D655A" w:rsidRPr="008D04B1">
        <w:rPr>
          <w:rFonts w:cstheme="minorHAnsi"/>
        </w:rPr>
        <w:t>.</w:t>
      </w:r>
      <w:r w:rsidR="0011275F" w:rsidRPr="008D04B1">
        <w:rPr>
          <w:rFonts w:cstheme="minorHAnsi"/>
        </w:rPr>
        <w:t xml:space="preserve">  </w:t>
      </w:r>
      <w:r w:rsidR="006F1633">
        <w:rPr>
          <w:rFonts w:cstheme="minorHAnsi"/>
        </w:rPr>
        <w:t>Under the new system, there is a greater risk of ‘cream skimming’ with some practices disproportionately attracting healthier, low demand patients.  In addition,</w:t>
      </w:r>
      <w:r w:rsidR="008657D3">
        <w:rPr>
          <w:rFonts w:cstheme="minorHAnsi"/>
        </w:rPr>
        <w:t xml:space="preserve"> t</w:t>
      </w:r>
      <w:r w:rsidR="0011275F" w:rsidRPr="008D04B1">
        <w:rPr>
          <w:rFonts w:cstheme="minorHAnsi"/>
        </w:rPr>
        <w:t xml:space="preserve">here are highly likely to be additional costs to the system as a whole, since a commissioner (it has yet to be advised whether NHS England or the ‘home’ CCG) will have to fund access to in-hours urgent primary medical care for out-of-area registered patients who fall ill at home which would not normally be required.  </w:t>
      </w:r>
    </w:p>
    <w:p w14:paraId="7CCBF195" w14:textId="77777777" w:rsidR="00F227A9" w:rsidRPr="008D04B1" w:rsidRDefault="00F227A9" w:rsidP="001934AA">
      <w:pPr>
        <w:spacing w:line="360" w:lineRule="auto"/>
        <w:rPr>
          <w:rFonts w:cstheme="minorHAnsi"/>
          <w:lang w:val="en-GB"/>
        </w:rPr>
      </w:pPr>
    </w:p>
    <w:p w14:paraId="36FFE980" w14:textId="77777777" w:rsidR="007C2485" w:rsidRPr="00F300E0" w:rsidRDefault="007C2485" w:rsidP="00DA5E4D">
      <w:pPr>
        <w:pStyle w:val="ListParagraph"/>
        <w:numPr>
          <w:ilvl w:val="0"/>
          <w:numId w:val="13"/>
        </w:numPr>
        <w:spacing w:line="360" w:lineRule="auto"/>
        <w:rPr>
          <w:rFonts w:cstheme="minorHAnsi"/>
        </w:rPr>
      </w:pPr>
      <w:r w:rsidRPr="00DA5E4D">
        <w:rPr>
          <w:rFonts w:cstheme="minorHAnsi"/>
          <w:b/>
        </w:rPr>
        <w:t>What</w:t>
      </w:r>
      <w:r w:rsidR="00834302" w:rsidRPr="00DA5E4D">
        <w:rPr>
          <w:rFonts w:cstheme="minorHAnsi"/>
          <w:b/>
        </w:rPr>
        <w:t xml:space="preserve"> issues does</w:t>
      </w:r>
      <w:r w:rsidR="0063303B" w:rsidRPr="00DA5E4D">
        <w:rPr>
          <w:rFonts w:cstheme="minorHAnsi"/>
          <w:b/>
        </w:rPr>
        <w:t xml:space="preserve"> implementation</w:t>
      </w:r>
      <w:r w:rsidRPr="00DA5E4D">
        <w:rPr>
          <w:rFonts w:cstheme="minorHAnsi"/>
          <w:b/>
        </w:rPr>
        <w:t xml:space="preserve"> of this policy</w:t>
      </w:r>
      <w:r w:rsidR="00834302" w:rsidRPr="00DA5E4D">
        <w:rPr>
          <w:rFonts w:cstheme="minorHAnsi"/>
          <w:b/>
        </w:rPr>
        <w:t xml:space="preserve"> raise</w:t>
      </w:r>
      <w:r w:rsidRPr="00DA5E4D">
        <w:rPr>
          <w:rFonts w:cstheme="minorHAnsi"/>
          <w:b/>
        </w:rPr>
        <w:t>?</w:t>
      </w:r>
    </w:p>
    <w:p w14:paraId="12AD9D75" w14:textId="77777777" w:rsidR="00326CCB" w:rsidRPr="008D04B1" w:rsidRDefault="002F4D86" w:rsidP="001934AA">
      <w:pPr>
        <w:spacing w:line="360" w:lineRule="auto"/>
        <w:rPr>
          <w:rFonts w:cstheme="minorHAnsi"/>
        </w:rPr>
      </w:pPr>
      <w:r w:rsidRPr="008D04B1">
        <w:rPr>
          <w:rFonts w:cstheme="minorHAnsi"/>
        </w:rPr>
        <w:t xml:space="preserve"> </w:t>
      </w:r>
    </w:p>
    <w:p w14:paraId="297E4FB2" w14:textId="357DB112" w:rsidR="00433E4B" w:rsidRPr="008D04B1" w:rsidRDefault="00433E4B" w:rsidP="001934AA">
      <w:pPr>
        <w:spacing w:line="360" w:lineRule="auto"/>
        <w:rPr>
          <w:rFonts w:cstheme="minorHAnsi"/>
        </w:rPr>
      </w:pPr>
      <w:r w:rsidRPr="008D04B1">
        <w:rPr>
          <w:rFonts w:cstheme="minorHAnsi"/>
        </w:rPr>
        <w:t xml:space="preserve">Information </w:t>
      </w:r>
      <w:r w:rsidR="009B5E1A" w:rsidRPr="008D04B1">
        <w:rPr>
          <w:rFonts w:cstheme="minorHAnsi"/>
        </w:rPr>
        <w:t>on</w:t>
      </w:r>
      <w:r w:rsidR="00D4391A" w:rsidRPr="008D04B1">
        <w:rPr>
          <w:rFonts w:cstheme="minorHAnsi"/>
        </w:rPr>
        <w:t xml:space="preserve"> the pros and cons of </w:t>
      </w:r>
      <w:r w:rsidR="009B5E1A" w:rsidRPr="008D04B1">
        <w:rPr>
          <w:rFonts w:cstheme="minorHAnsi"/>
        </w:rPr>
        <w:t>the</w:t>
      </w:r>
      <w:r w:rsidR="00D90A19" w:rsidRPr="008D04B1">
        <w:rPr>
          <w:rFonts w:cstheme="minorHAnsi"/>
        </w:rPr>
        <w:t xml:space="preserve"> scheme</w:t>
      </w:r>
      <w:r w:rsidR="00D4391A" w:rsidRPr="008D04B1">
        <w:rPr>
          <w:rFonts w:cstheme="minorHAnsi"/>
        </w:rPr>
        <w:t xml:space="preserve"> for prospective patients in different situations, including those contemplating staying with a practice despite moving </w:t>
      </w:r>
      <w:r w:rsidR="00A216DA" w:rsidRPr="008D04B1">
        <w:rPr>
          <w:rFonts w:cstheme="minorHAnsi"/>
        </w:rPr>
        <w:t>out-</w:t>
      </w:r>
      <w:r w:rsidR="00A216DA" w:rsidRPr="008D04B1">
        <w:rPr>
          <w:rFonts w:cstheme="minorHAnsi"/>
        </w:rPr>
        <w:lastRenderedPageBreak/>
        <w:t>of-area</w:t>
      </w:r>
      <w:r w:rsidR="000A67CE" w:rsidRPr="008D04B1">
        <w:rPr>
          <w:rFonts w:cstheme="minorHAnsi"/>
        </w:rPr>
        <w:t>,</w:t>
      </w:r>
      <w:r w:rsidR="00A216DA" w:rsidRPr="008D04B1">
        <w:rPr>
          <w:rFonts w:cstheme="minorHAnsi"/>
        </w:rPr>
        <w:t xml:space="preserve"> </w:t>
      </w:r>
      <w:r w:rsidR="00D4391A" w:rsidRPr="008D04B1">
        <w:rPr>
          <w:rFonts w:cstheme="minorHAnsi"/>
        </w:rPr>
        <w:t>needs to</w:t>
      </w:r>
      <w:r w:rsidRPr="008D04B1">
        <w:rPr>
          <w:rFonts w:cstheme="minorHAnsi"/>
        </w:rPr>
        <w:t xml:space="preserve"> be</w:t>
      </w:r>
      <w:r w:rsidR="008D655A" w:rsidRPr="008D04B1">
        <w:rPr>
          <w:rFonts w:cstheme="minorHAnsi"/>
        </w:rPr>
        <w:t xml:space="preserve"> made</w:t>
      </w:r>
      <w:r w:rsidR="00D4391A" w:rsidRPr="008D04B1">
        <w:rPr>
          <w:rFonts w:cstheme="minorHAnsi"/>
        </w:rPr>
        <w:t xml:space="preserve"> widely</w:t>
      </w:r>
      <w:r w:rsidRPr="008D04B1">
        <w:rPr>
          <w:rFonts w:cstheme="minorHAnsi"/>
        </w:rPr>
        <w:t xml:space="preserve"> available. Patients </w:t>
      </w:r>
      <w:r w:rsidR="000D43F7" w:rsidRPr="008D04B1">
        <w:rPr>
          <w:rFonts w:cstheme="minorHAnsi"/>
        </w:rPr>
        <w:t>must</w:t>
      </w:r>
      <w:r w:rsidRPr="008D04B1">
        <w:rPr>
          <w:rFonts w:cstheme="minorHAnsi"/>
        </w:rPr>
        <w:t xml:space="preserve"> be aware that they will not receive home visits and</w:t>
      </w:r>
      <w:r w:rsidR="00D4391A" w:rsidRPr="008D04B1">
        <w:rPr>
          <w:rFonts w:cstheme="minorHAnsi"/>
        </w:rPr>
        <w:t xml:space="preserve"> know</w:t>
      </w:r>
      <w:r w:rsidRPr="008D04B1">
        <w:rPr>
          <w:rFonts w:cstheme="minorHAnsi"/>
        </w:rPr>
        <w:t xml:space="preserve"> how to seek </w:t>
      </w:r>
      <w:r w:rsidR="006F1633">
        <w:rPr>
          <w:rFonts w:cstheme="minorHAnsi"/>
        </w:rPr>
        <w:t xml:space="preserve">urgent </w:t>
      </w:r>
      <w:r w:rsidRPr="008D04B1">
        <w:rPr>
          <w:rFonts w:cstheme="minorHAnsi"/>
        </w:rPr>
        <w:t>care</w:t>
      </w:r>
      <w:r w:rsidR="00D4391A" w:rsidRPr="008D04B1">
        <w:rPr>
          <w:rFonts w:cstheme="minorHAnsi"/>
        </w:rPr>
        <w:t xml:space="preserve"> appropriately</w:t>
      </w:r>
      <w:r w:rsidRPr="008D04B1">
        <w:rPr>
          <w:rFonts w:cstheme="minorHAnsi"/>
        </w:rPr>
        <w:t xml:space="preserve"> if they fall ill while </w:t>
      </w:r>
      <w:r w:rsidR="006F1633">
        <w:rPr>
          <w:rFonts w:cstheme="minorHAnsi"/>
        </w:rPr>
        <w:t xml:space="preserve">at </w:t>
      </w:r>
      <w:r w:rsidRPr="008D04B1">
        <w:rPr>
          <w:rFonts w:cstheme="minorHAnsi"/>
        </w:rPr>
        <w:t>home</w:t>
      </w:r>
      <w:r w:rsidR="006F1633">
        <w:rPr>
          <w:rFonts w:cstheme="minorHAnsi"/>
        </w:rPr>
        <w:t xml:space="preserve"> either in-hours or out-of-hours</w:t>
      </w:r>
      <w:r w:rsidR="00D90A19" w:rsidRPr="008D04B1">
        <w:rPr>
          <w:rFonts w:cstheme="minorHAnsi"/>
        </w:rPr>
        <w:t>.</w:t>
      </w:r>
      <w:r w:rsidR="002F4D86" w:rsidRPr="008D04B1">
        <w:rPr>
          <w:rFonts w:cstheme="minorHAnsi"/>
        </w:rPr>
        <w:t xml:space="preserve"> </w:t>
      </w:r>
      <w:r w:rsidR="006F1633">
        <w:rPr>
          <w:rFonts w:cstheme="minorHAnsi"/>
        </w:rPr>
        <w:t>In both cases, they will also need to be aware that the local provider</w:t>
      </w:r>
      <w:r w:rsidR="00B5154B">
        <w:rPr>
          <w:rFonts w:cstheme="minorHAnsi"/>
        </w:rPr>
        <w:t>s</w:t>
      </w:r>
      <w:r w:rsidR="006F1633">
        <w:rPr>
          <w:rFonts w:cstheme="minorHAnsi"/>
        </w:rPr>
        <w:t xml:space="preserve"> will have to establish</w:t>
      </w:r>
      <w:r w:rsidR="00B5154B">
        <w:rPr>
          <w:rFonts w:cstheme="minorHAnsi"/>
        </w:rPr>
        <w:t xml:space="preserve"> new</w:t>
      </w:r>
      <w:r w:rsidR="006F1633">
        <w:rPr>
          <w:rFonts w:cstheme="minorHAnsi"/>
        </w:rPr>
        <w:t xml:space="preserve"> lines of communication with their out-of-area practice</w:t>
      </w:r>
      <w:r w:rsidR="00B5154B">
        <w:rPr>
          <w:rFonts w:cstheme="minorHAnsi"/>
        </w:rPr>
        <w:t xml:space="preserve"> so that the latter has full details of any treatment received to add to their records</w:t>
      </w:r>
      <w:r w:rsidR="006F1633">
        <w:rPr>
          <w:rFonts w:cstheme="minorHAnsi"/>
        </w:rPr>
        <w:t xml:space="preserve">.  </w:t>
      </w:r>
      <w:r w:rsidR="00D90A19" w:rsidRPr="008D04B1">
        <w:rPr>
          <w:rFonts w:cstheme="minorHAnsi"/>
        </w:rPr>
        <w:t xml:space="preserve">This </w:t>
      </w:r>
      <w:r w:rsidR="00D4391A" w:rsidRPr="008D04B1">
        <w:rPr>
          <w:rFonts w:cstheme="minorHAnsi"/>
        </w:rPr>
        <w:t xml:space="preserve">is needed </w:t>
      </w:r>
      <w:r w:rsidR="00BF6C00" w:rsidRPr="008D04B1">
        <w:rPr>
          <w:rFonts w:cstheme="minorHAnsi"/>
        </w:rPr>
        <w:t>to ensure that patient safety</w:t>
      </w:r>
      <w:r w:rsidR="00D90A19" w:rsidRPr="008D04B1">
        <w:rPr>
          <w:rFonts w:cstheme="minorHAnsi"/>
        </w:rPr>
        <w:t xml:space="preserve"> is not</w:t>
      </w:r>
      <w:r w:rsidR="00D4391A" w:rsidRPr="008D04B1">
        <w:rPr>
          <w:rFonts w:cstheme="minorHAnsi"/>
        </w:rPr>
        <w:t xml:space="preserve"> unduly</w:t>
      </w:r>
      <w:r w:rsidR="00D90A19" w:rsidRPr="008D04B1">
        <w:rPr>
          <w:rFonts w:cstheme="minorHAnsi"/>
        </w:rPr>
        <w:t xml:space="preserve"> compromised</w:t>
      </w:r>
      <w:r w:rsidR="000D2679" w:rsidRPr="008D04B1">
        <w:rPr>
          <w:rFonts w:cstheme="minorHAnsi"/>
        </w:rPr>
        <w:t xml:space="preserve"> and patients are not incentivi</w:t>
      </w:r>
      <w:r w:rsidR="005E77D3">
        <w:rPr>
          <w:rFonts w:cstheme="minorHAnsi"/>
        </w:rPr>
        <w:t>s</w:t>
      </w:r>
      <w:r w:rsidR="000D2679" w:rsidRPr="008D04B1">
        <w:rPr>
          <w:rFonts w:cstheme="minorHAnsi"/>
        </w:rPr>
        <w:t xml:space="preserve">ed to seek </w:t>
      </w:r>
      <w:r w:rsidR="00D4391A" w:rsidRPr="008D04B1">
        <w:rPr>
          <w:rFonts w:cstheme="minorHAnsi"/>
        </w:rPr>
        <w:t xml:space="preserve">urgent </w:t>
      </w:r>
      <w:r w:rsidR="000D2679" w:rsidRPr="008D04B1">
        <w:rPr>
          <w:rFonts w:cstheme="minorHAnsi"/>
        </w:rPr>
        <w:t>care</w:t>
      </w:r>
      <w:r w:rsidR="00D4391A" w:rsidRPr="008D04B1">
        <w:rPr>
          <w:rFonts w:cstheme="minorHAnsi"/>
        </w:rPr>
        <w:t xml:space="preserve"> inappropriately, for example,</w:t>
      </w:r>
      <w:r w:rsidR="000D2679" w:rsidRPr="008D04B1">
        <w:rPr>
          <w:rFonts w:cstheme="minorHAnsi"/>
        </w:rPr>
        <w:t xml:space="preserve"> at a local A&amp;E</w:t>
      </w:r>
      <w:r w:rsidR="00D4391A" w:rsidRPr="008D04B1">
        <w:rPr>
          <w:rFonts w:cstheme="minorHAnsi"/>
        </w:rPr>
        <w:t xml:space="preserve"> department</w:t>
      </w:r>
      <w:r w:rsidRPr="008D04B1">
        <w:rPr>
          <w:rFonts w:cstheme="minorHAnsi"/>
        </w:rPr>
        <w:t xml:space="preserve">. </w:t>
      </w:r>
      <w:r w:rsidR="00D4391A" w:rsidRPr="008D04B1">
        <w:rPr>
          <w:rFonts w:cstheme="minorHAnsi"/>
        </w:rPr>
        <w:t>Practices accepting out-of-area patients could be required to offer alternatives to face-to-face consultations</w:t>
      </w:r>
      <w:r w:rsidR="008D655A" w:rsidRPr="008D04B1">
        <w:rPr>
          <w:rFonts w:cstheme="minorHAnsi"/>
        </w:rPr>
        <w:t xml:space="preserve"> as a condition of participation.</w:t>
      </w:r>
      <w:r w:rsidR="000A67CE" w:rsidRPr="008D04B1">
        <w:rPr>
          <w:rFonts w:cstheme="minorHAnsi"/>
        </w:rPr>
        <w:t xml:space="preserve">  </w:t>
      </w:r>
      <w:r w:rsidR="0011275F" w:rsidRPr="008D04B1">
        <w:rPr>
          <w:rFonts w:cstheme="minorHAnsi"/>
        </w:rPr>
        <w:t>To aid their referrals, p</w:t>
      </w:r>
      <w:r w:rsidR="00EB6155" w:rsidRPr="008D04B1">
        <w:rPr>
          <w:rFonts w:cstheme="minorHAnsi"/>
        </w:rPr>
        <w:t>ractices will also need ready access to information about community health services</w:t>
      </w:r>
      <w:r w:rsidR="0011275F" w:rsidRPr="008D04B1">
        <w:rPr>
          <w:rFonts w:cstheme="minorHAnsi"/>
        </w:rPr>
        <w:t xml:space="preserve"> outside their immediate area</w:t>
      </w:r>
      <w:r w:rsidR="00E638C9" w:rsidRPr="008D04B1">
        <w:rPr>
          <w:rFonts w:cstheme="minorHAnsi"/>
        </w:rPr>
        <w:t>, wh</w:t>
      </w:r>
      <w:r w:rsidR="0011275F" w:rsidRPr="008D04B1">
        <w:rPr>
          <w:rFonts w:cstheme="minorHAnsi"/>
        </w:rPr>
        <w:t>ich, in turn,</w:t>
      </w:r>
      <w:r w:rsidR="00E638C9" w:rsidRPr="008D04B1">
        <w:rPr>
          <w:rFonts w:cstheme="minorHAnsi"/>
        </w:rPr>
        <w:t xml:space="preserve"> must be willing to accept referrals from practices around the country</w:t>
      </w:r>
      <w:r w:rsidR="00EB6155" w:rsidRPr="008D04B1">
        <w:rPr>
          <w:rFonts w:cstheme="minorHAnsi"/>
        </w:rPr>
        <w:t>.</w:t>
      </w:r>
    </w:p>
    <w:p w14:paraId="6DC4305C" w14:textId="77777777" w:rsidR="00433E4B" w:rsidRPr="008D04B1" w:rsidRDefault="00433E4B" w:rsidP="001934AA">
      <w:pPr>
        <w:spacing w:line="360" w:lineRule="auto"/>
        <w:rPr>
          <w:rFonts w:cstheme="minorHAnsi"/>
        </w:rPr>
      </w:pPr>
    </w:p>
    <w:p w14:paraId="1A802B51" w14:textId="77777777" w:rsidR="008D655A" w:rsidRPr="008D04B1" w:rsidRDefault="00F75381" w:rsidP="001934AA">
      <w:pPr>
        <w:spacing w:line="360" w:lineRule="auto"/>
        <w:rPr>
          <w:rFonts w:cstheme="minorHAnsi"/>
        </w:rPr>
      </w:pPr>
      <w:r w:rsidRPr="008D04B1">
        <w:rPr>
          <w:rFonts w:cstheme="minorHAnsi"/>
        </w:rPr>
        <w:t>T</w:t>
      </w:r>
      <w:r w:rsidR="006F020E" w:rsidRPr="008D04B1">
        <w:rPr>
          <w:rFonts w:cstheme="minorHAnsi"/>
        </w:rPr>
        <w:t>here</w:t>
      </w:r>
      <w:r w:rsidR="0063303B" w:rsidRPr="008D04B1">
        <w:rPr>
          <w:rFonts w:cstheme="minorHAnsi"/>
        </w:rPr>
        <w:t xml:space="preserve"> also</w:t>
      </w:r>
      <w:r w:rsidR="005D6BDE" w:rsidRPr="008D04B1">
        <w:rPr>
          <w:rFonts w:cstheme="minorHAnsi"/>
        </w:rPr>
        <w:t xml:space="preserve"> </w:t>
      </w:r>
      <w:r w:rsidR="008D655A" w:rsidRPr="008D04B1">
        <w:rPr>
          <w:rFonts w:cstheme="minorHAnsi"/>
        </w:rPr>
        <w:t>needs to</w:t>
      </w:r>
      <w:r w:rsidR="005D6BDE" w:rsidRPr="008D04B1">
        <w:rPr>
          <w:rFonts w:cstheme="minorHAnsi"/>
        </w:rPr>
        <w:t xml:space="preserve"> be a mechanism by which practice list size</w:t>
      </w:r>
      <w:r w:rsidRPr="008D04B1">
        <w:rPr>
          <w:rFonts w:cstheme="minorHAnsi"/>
        </w:rPr>
        <w:t>s</w:t>
      </w:r>
      <w:r w:rsidR="005D6BDE" w:rsidRPr="008D04B1">
        <w:rPr>
          <w:rFonts w:cstheme="minorHAnsi"/>
        </w:rPr>
        <w:t xml:space="preserve"> can be controlled</w:t>
      </w:r>
      <w:r w:rsidR="0011275F" w:rsidRPr="008D04B1">
        <w:rPr>
          <w:rFonts w:cstheme="minorHAnsi"/>
        </w:rPr>
        <w:t xml:space="preserve"> to maintain quality of service</w:t>
      </w:r>
      <w:r w:rsidR="00D2707A">
        <w:rPr>
          <w:rFonts w:cstheme="minorHAnsi"/>
        </w:rPr>
        <w:t>,</w:t>
      </w:r>
      <w:r w:rsidR="008D655A" w:rsidRPr="008D04B1">
        <w:rPr>
          <w:rFonts w:cstheme="minorHAnsi"/>
        </w:rPr>
        <w:t xml:space="preserve"> and a balance struck between access and</w:t>
      </w:r>
      <w:r w:rsidR="006F4B76" w:rsidRPr="008D04B1">
        <w:rPr>
          <w:rFonts w:cstheme="minorHAnsi"/>
        </w:rPr>
        <w:t xml:space="preserve"> responsiveness to the local community</w:t>
      </w:r>
      <w:r w:rsidR="008D655A" w:rsidRPr="008D04B1">
        <w:rPr>
          <w:rFonts w:cstheme="minorHAnsi"/>
        </w:rPr>
        <w:t xml:space="preserve"> and</w:t>
      </w:r>
      <w:r w:rsidR="0063303B" w:rsidRPr="008D04B1">
        <w:rPr>
          <w:rFonts w:cstheme="minorHAnsi"/>
        </w:rPr>
        <w:t xml:space="preserve"> the needs of</w:t>
      </w:r>
      <w:r w:rsidR="008D655A" w:rsidRPr="008D04B1">
        <w:rPr>
          <w:rFonts w:cstheme="minorHAnsi"/>
        </w:rPr>
        <w:t xml:space="preserve"> others</w:t>
      </w:r>
      <w:r w:rsidR="00BE2CDC" w:rsidRPr="008D04B1">
        <w:rPr>
          <w:rFonts w:cstheme="minorHAnsi"/>
        </w:rPr>
        <w:t>.</w:t>
      </w:r>
      <w:r w:rsidR="002F4D86" w:rsidRPr="008D04B1">
        <w:rPr>
          <w:rFonts w:cstheme="minorHAnsi"/>
        </w:rPr>
        <w:t xml:space="preserve"> </w:t>
      </w:r>
    </w:p>
    <w:p w14:paraId="420A7980" w14:textId="77777777" w:rsidR="008D655A" w:rsidRPr="008D04B1" w:rsidRDefault="008D655A" w:rsidP="001934AA">
      <w:pPr>
        <w:spacing w:line="360" w:lineRule="auto"/>
        <w:rPr>
          <w:rFonts w:cstheme="minorHAnsi"/>
        </w:rPr>
      </w:pPr>
    </w:p>
    <w:p w14:paraId="26E3EA62" w14:textId="77777777" w:rsidR="00BE2CDC" w:rsidRPr="008D04B1" w:rsidRDefault="0063303B" w:rsidP="001934AA">
      <w:pPr>
        <w:spacing w:line="360" w:lineRule="auto"/>
        <w:rPr>
          <w:rFonts w:cstheme="minorHAnsi"/>
        </w:rPr>
      </w:pPr>
      <w:r w:rsidRPr="008D04B1">
        <w:rPr>
          <w:rFonts w:cstheme="minorHAnsi"/>
          <w:lang w:val="en-GB"/>
        </w:rPr>
        <w:t>Further, i</w:t>
      </w:r>
      <w:r w:rsidR="0068626A" w:rsidRPr="008D04B1">
        <w:rPr>
          <w:rFonts w:cstheme="minorHAnsi"/>
          <w:lang w:val="en-GB"/>
        </w:rPr>
        <w:t xml:space="preserve">t will be important to develop </w:t>
      </w:r>
      <w:r w:rsidR="008D655A" w:rsidRPr="008D04B1">
        <w:rPr>
          <w:rFonts w:cstheme="minorHAnsi"/>
          <w:lang w:val="en-GB"/>
        </w:rPr>
        <w:t>systems</w:t>
      </w:r>
      <w:r w:rsidR="0068626A" w:rsidRPr="008D04B1">
        <w:rPr>
          <w:rFonts w:cstheme="minorHAnsi"/>
          <w:lang w:val="en-GB"/>
        </w:rPr>
        <w:t xml:space="preserve"> to ensure reliable, prompt and secure transfers of clinical </w:t>
      </w:r>
      <w:r w:rsidR="00D95B6F" w:rsidRPr="008D04B1">
        <w:rPr>
          <w:rFonts w:cstheme="minorHAnsi"/>
          <w:lang w:val="en-GB"/>
        </w:rPr>
        <w:t>information between</w:t>
      </w:r>
      <w:r w:rsidR="0011275F" w:rsidRPr="008D04B1">
        <w:rPr>
          <w:rFonts w:cstheme="minorHAnsi"/>
          <w:lang w:val="en-GB"/>
        </w:rPr>
        <w:t>, for instance,</w:t>
      </w:r>
      <w:r w:rsidR="00D95B6F" w:rsidRPr="008D04B1">
        <w:rPr>
          <w:rFonts w:cstheme="minorHAnsi"/>
          <w:lang w:val="en-GB"/>
        </w:rPr>
        <w:t xml:space="preserve"> </w:t>
      </w:r>
      <w:r w:rsidR="00D95B6F" w:rsidRPr="008D04B1">
        <w:rPr>
          <w:rFonts w:cstheme="minorHAnsi"/>
        </w:rPr>
        <w:t>an out of hou</w:t>
      </w:r>
      <w:r w:rsidR="006F020E" w:rsidRPr="008D04B1">
        <w:rPr>
          <w:rFonts w:cstheme="minorHAnsi"/>
        </w:rPr>
        <w:t xml:space="preserve">rs service or community nursing </w:t>
      </w:r>
      <w:r w:rsidR="00D95B6F" w:rsidRPr="008D04B1">
        <w:rPr>
          <w:rFonts w:cstheme="minorHAnsi"/>
        </w:rPr>
        <w:t>and a</w:t>
      </w:r>
      <w:r w:rsidR="008D655A" w:rsidRPr="008D04B1">
        <w:rPr>
          <w:rFonts w:cstheme="minorHAnsi"/>
        </w:rPr>
        <w:t>n out-of-area</w:t>
      </w:r>
      <w:r w:rsidR="00D95B6F" w:rsidRPr="008D04B1">
        <w:rPr>
          <w:rFonts w:cstheme="minorHAnsi"/>
        </w:rPr>
        <w:t xml:space="preserve"> patient’s registered practice.</w:t>
      </w:r>
      <w:r w:rsidR="0011275F" w:rsidRPr="008D04B1" w:rsidDel="0011275F">
        <w:rPr>
          <w:rFonts w:cstheme="minorHAnsi"/>
          <w:lang w:val="en-GB"/>
        </w:rPr>
        <w:t xml:space="preserve"> </w:t>
      </w:r>
    </w:p>
    <w:p w14:paraId="10A38500" w14:textId="77777777" w:rsidR="00BE2CDC" w:rsidRPr="008D04B1" w:rsidRDefault="00BE2CDC" w:rsidP="001934AA">
      <w:pPr>
        <w:spacing w:line="360" w:lineRule="auto"/>
        <w:rPr>
          <w:rFonts w:cstheme="minorHAnsi"/>
        </w:rPr>
      </w:pPr>
    </w:p>
    <w:p w14:paraId="6C320AD8" w14:textId="77777777" w:rsidR="007C2485" w:rsidRPr="008D04B1" w:rsidRDefault="0063303B" w:rsidP="001934AA">
      <w:pPr>
        <w:spacing w:line="360" w:lineRule="auto"/>
        <w:rPr>
          <w:rFonts w:cstheme="minorHAnsi"/>
        </w:rPr>
      </w:pPr>
      <w:r w:rsidRPr="008D04B1">
        <w:rPr>
          <w:rFonts w:cstheme="minorHAnsi"/>
          <w:lang w:val="en-GB"/>
        </w:rPr>
        <w:t xml:space="preserve">Finally, </w:t>
      </w:r>
      <w:r w:rsidR="00BF6C00" w:rsidRPr="008D04B1">
        <w:rPr>
          <w:rFonts w:cstheme="minorHAnsi"/>
          <w:lang w:val="en-GB"/>
        </w:rPr>
        <w:t xml:space="preserve">it is important that </w:t>
      </w:r>
      <w:r w:rsidR="00D95B6F" w:rsidRPr="008D04B1">
        <w:rPr>
          <w:rFonts w:cstheme="minorHAnsi"/>
          <w:lang w:val="en-GB"/>
        </w:rPr>
        <w:t>the</w:t>
      </w:r>
      <w:r w:rsidRPr="008D04B1">
        <w:rPr>
          <w:rFonts w:cstheme="minorHAnsi"/>
          <w:lang w:val="en-GB"/>
        </w:rPr>
        <w:t xml:space="preserve"> national GP payments system</w:t>
      </w:r>
      <w:r w:rsidR="00D95B6F" w:rsidRPr="008D04B1">
        <w:rPr>
          <w:rFonts w:cstheme="minorHAnsi"/>
          <w:lang w:val="en-GB"/>
        </w:rPr>
        <w:t xml:space="preserve"> is able to</w:t>
      </w:r>
      <w:r w:rsidRPr="008D04B1">
        <w:rPr>
          <w:rFonts w:cstheme="minorHAnsi"/>
          <w:lang w:val="en-GB"/>
        </w:rPr>
        <w:t xml:space="preserve"> identify the movement of patients between practices so that the relationships between net ‘gaining’ and ‘losing’ practices can be tracked over time.</w:t>
      </w:r>
      <w:r w:rsidR="002F4D86" w:rsidRPr="008D04B1">
        <w:rPr>
          <w:rFonts w:cstheme="minorHAnsi"/>
          <w:lang w:val="en-GB"/>
        </w:rPr>
        <w:t xml:space="preserve"> </w:t>
      </w:r>
      <w:r w:rsidRPr="008D04B1">
        <w:rPr>
          <w:rFonts w:cstheme="minorHAnsi"/>
          <w:lang w:val="en-GB"/>
        </w:rPr>
        <w:t>Currently, the database is over-written when a patient transfers registration and so the data are not usable for monitoring</w:t>
      </w:r>
      <w:r w:rsidR="00BA5FE8" w:rsidRPr="008D04B1">
        <w:rPr>
          <w:rFonts w:cstheme="minorHAnsi"/>
          <w:lang w:val="en-GB"/>
        </w:rPr>
        <w:t xml:space="preserve"> (e.g. of practice viability</w:t>
      </w:r>
      <w:r w:rsidR="00B5154B">
        <w:rPr>
          <w:rFonts w:cstheme="minorHAnsi"/>
          <w:lang w:val="en-GB"/>
        </w:rPr>
        <w:t>, ‘cream skimming’, etc.</w:t>
      </w:r>
      <w:r w:rsidR="00BA5FE8" w:rsidRPr="008D04B1">
        <w:rPr>
          <w:rFonts w:cstheme="minorHAnsi"/>
          <w:lang w:val="en-GB"/>
        </w:rPr>
        <w:t>).</w:t>
      </w:r>
      <w:r w:rsidR="00F22EBD" w:rsidRPr="008D04B1">
        <w:rPr>
          <w:rFonts w:cstheme="minorHAnsi"/>
          <w:lang w:val="en-GB"/>
        </w:rPr>
        <w:t xml:space="preserve"> </w:t>
      </w:r>
    </w:p>
    <w:p w14:paraId="56D6E300" w14:textId="77777777" w:rsidR="00202B57" w:rsidRPr="008D04B1" w:rsidRDefault="00202B57" w:rsidP="001934AA">
      <w:pPr>
        <w:spacing w:line="360" w:lineRule="auto"/>
        <w:rPr>
          <w:rFonts w:cstheme="minorHAnsi"/>
        </w:rPr>
      </w:pPr>
    </w:p>
    <w:p w14:paraId="0CCF4B73" w14:textId="77777777" w:rsidR="005E4EBB" w:rsidRPr="00DA5E4D" w:rsidRDefault="005E4EBB" w:rsidP="00DA5E4D">
      <w:pPr>
        <w:pStyle w:val="ListParagraph"/>
        <w:numPr>
          <w:ilvl w:val="0"/>
          <w:numId w:val="13"/>
        </w:numPr>
        <w:spacing w:line="360" w:lineRule="auto"/>
        <w:rPr>
          <w:rFonts w:cstheme="minorHAnsi"/>
        </w:rPr>
      </w:pPr>
      <w:r>
        <w:rPr>
          <w:rFonts w:cstheme="minorHAnsi"/>
          <w:b/>
        </w:rPr>
        <w:t>Discussion and policy implications</w:t>
      </w:r>
    </w:p>
    <w:p w14:paraId="078E2318" w14:textId="4BDAD807" w:rsidR="00F31AEB" w:rsidRPr="008D04B1" w:rsidRDefault="00BA5FE8" w:rsidP="00F31AEB">
      <w:pPr>
        <w:spacing w:line="360" w:lineRule="auto"/>
        <w:rPr>
          <w:rFonts w:cstheme="minorHAnsi"/>
        </w:rPr>
      </w:pPr>
      <w:r w:rsidRPr="008D04B1">
        <w:rPr>
          <w:rFonts w:cstheme="minorHAnsi"/>
        </w:rPr>
        <w:t>Critics of the policy argue not only that the removal of practice boundaries potentially risks harming patient care, but that it is not worth the extra cost and system complexity</w:t>
      </w:r>
      <w:r w:rsidR="002371A7" w:rsidRPr="008D04B1">
        <w:rPr>
          <w:rFonts w:cstheme="minorHAnsi"/>
        </w:rPr>
        <w:t xml:space="preserve"> </w:t>
      </w:r>
      <w:r w:rsidR="00EF6E4D" w:rsidRPr="008D04B1">
        <w:rPr>
          <w:rFonts w:cstheme="minorHAnsi"/>
        </w:rPr>
        <w:fldChar w:fldCharType="begin"/>
      </w:r>
      <w:r w:rsidR="00A4727D">
        <w:rPr>
          <w:rFonts w:cstheme="minorHAnsi"/>
        </w:rPr>
        <w:instrText xml:space="preserve"> ADDIN EN.CITE &lt;EndNote&gt;&lt;Cite&gt;&lt;Author&gt;Kaffash&lt;/Author&gt;&lt;Year&gt;2013&lt;/Year&gt;&lt;RecNum&gt;81&lt;/RecNum&gt;&lt;DisplayText&gt;(14, 17)&lt;/DisplayText&gt;&lt;record&gt;&lt;rec-number&gt;81&lt;/rec-number&gt;&lt;foreign-keys&gt;&lt;key app="EN" db-id="ptdswpda0va5vqe5pzg5w50lf0txassaw0zx"&gt;81&lt;/key&gt;&lt;/foreign-keys&gt;&lt;ref-type name="Web Page"&gt;12&lt;/ref-type&gt;&lt;contributors&gt;&lt;authors&gt;&lt;author&gt;Kaffash, Jaimie&lt;/author&gt;&lt;/authors&gt;&lt;/contributors&gt;&lt;titles&gt;&lt;title&gt;Gerada: Removal of practice boundaries will break link between GPs and their communities&lt;/title&gt;&lt;secondary-title&gt;Pulse&lt;/secondary-title&gt;&lt;/titles&gt;&lt;dates&gt;&lt;year&gt;2013&lt;/year&gt;&lt;pub-dates&gt;&lt;date&gt;4 December 2013&lt;/date&gt;&lt;/pub-dates&gt;&lt;/dates&gt;&lt;urls&gt;&lt;related-urls&gt;&lt;url&gt;http://www.pulsetoday.co.uk/home/gp-contract-2014/15/gerada-removal-of-practice-boundaries-will-break-link-between-gps-and-their-communities/20005257.article#.U5hgfVOICSo&lt;/url&gt;&lt;/related-urls&gt;&lt;/urls&gt;&lt;/record&gt;&lt;/Cite&gt;&lt;Cite&gt;&lt;Author&gt;Dreaper&lt;/Author&gt;&lt;Year&gt;2014&lt;/Year&gt;&lt;RecNum&gt;82&lt;/RecNum&gt;&lt;record&gt;&lt;rec-number&gt;82&lt;/rec-number&gt;&lt;foreign-keys&gt;&lt;key app="EN" db-id="ptdswpda0va5vqe5pzg5w50lf0txassaw0zx"&gt;82&lt;/key&gt;&lt;/foreign-keys&gt;&lt;ref-type name="Web Page"&gt;12&lt;/ref-type&gt;&lt;contributors&gt;&lt;authors&gt;&lt;author&gt;Dreaper, Jane&lt;/author&gt;&lt;/authors&gt;&lt;/contributors&gt;&lt;titles&gt;&lt;title&gt;Choice of GP practice &amp;apos;popular with commuters&amp;apos;&lt;/title&gt;&lt;/titles&gt;&lt;dates&gt;&lt;year&gt;2014&lt;/year&gt;&lt;/dates&gt;&lt;publisher&gt;BBC&lt;/publisher&gt;&lt;urls&gt;&lt;related-urls&gt;&lt;url&gt;http://www.bbc.co.uk/news/health-26654617&lt;/url&gt;&lt;/related-urls&gt;&lt;/urls&gt;&lt;/record&gt;&lt;/Cite&gt;&lt;/EndNote&gt;</w:instrText>
      </w:r>
      <w:r w:rsidR="00EF6E4D" w:rsidRPr="008D04B1">
        <w:rPr>
          <w:rFonts w:cstheme="minorHAnsi"/>
        </w:rPr>
        <w:fldChar w:fldCharType="separate"/>
      </w:r>
      <w:r w:rsidR="00A4727D">
        <w:rPr>
          <w:rFonts w:cstheme="minorHAnsi"/>
          <w:noProof/>
        </w:rPr>
        <w:t>(</w:t>
      </w:r>
      <w:hyperlink w:anchor="_ENREF_14" w:tooltip="Kaffash, 2013 #81" w:history="1">
        <w:r w:rsidR="00A4727D">
          <w:rPr>
            <w:rFonts w:cstheme="minorHAnsi"/>
            <w:noProof/>
          </w:rPr>
          <w:t>14</w:t>
        </w:r>
      </w:hyperlink>
      <w:r w:rsidR="00A4727D">
        <w:rPr>
          <w:rFonts w:cstheme="minorHAnsi"/>
          <w:noProof/>
        </w:rPr>
        <w:t xml:space="preserve">, </w:t>
      </w:r>
      <w:hyperlink w:anchor="_ENREF_17" w:tooltip="Dreaper, 2014 #82" w:history="1">
        <w:r w:rsidR="00A4727D">
          <w:rPr>
            <w:rFonts w:cstheme="minorHAnsi"/>
            <w:noProof/>
          </w:rPr>
          <w:t>17</w:t>
        </w:r>
      </w:hyperlink>
      <w:r w:rsidR="00A4727D">
        <w:rPr>
          <w:rFonts w:cstheme="minorHAnsi"/>
          <w:noProof/>
        </w:rPr>
        <w:t>)</w:t>
      </w:r>
      <w:r w:rsidR="00EF6E4D" w:rsidRPr="008D04B1">
        <w:rPr>
          <w:rFonts w:cstheme="minorHAnsi"/>
        </w:rPr>
        <w:fldChar w:fldCharType="end"/>
      </w:r>
      <w:r w:rsidRPr="008D04B1">
        <w:rPr>
          <w:rFonts w:cstheme="minorHAnsi"/>
        </w:rPr>
        <w:t>.</w:t>
      </w:r>
      <w:r w:rsidR="002F4D86" w:rsidRPr="008D04B1">
        <w:rPr>
          <w:rFonts w:cstheme="minorHAnsi"/>
        </w:rPr>
        <w:t xml:space="preserve"> </w:t>
      </w:r>
      <w:r w:rsidR="00D2707A">
        <w:rPr>
          <w:rFonts w:cstheme="minorHAnsi"/>
        </w:rPr>
        <w:t>From this perspective, t</w:t>
      </w:r>
      <w:r w:rsidRPr="008D04B1">
        <w:rPr>
          <w:rFonts w:cstheme="minorHAnsi"/>
        </w:rPr>
        <w:t xml:space="preserve">here are higher primary medical </w:t>
      </w:r>
      <w:r w:rsidRPr="008D04B1">
        <w:rPr>
          <w:rFonts w:cstheme="minorHAnsi"/>
        </w:rPr>
        <w:lastRenderedPageBreak/>
        <w:t>care priorities such as improving the ability of general practices to maintain the health of people with complex, long-term conditions.</w:t>
      </w:r>
      <w:r w:rsidR="002F4D86" w:rsidRPr="008D04B1">
        <w:rPr>
          <w:rFonts w:cstheme="minorHAnsi"/>
        </w:rPr>
        <w:t xml:space="preserve"> </w:t>
      </w:r>
      <w:r w:rsidRPr="008D04B1">
        <w:rPr>
          <w:rFonts w:cstheme="minorHAnsi"/>
        </w:rPr>
        <w:t>Indeed, t</w:t>
      </w:r>
      <w:r w:rsidR="00F31AEB" w:rsidRPr="008D04B1">
        <w:rPr>
          <w:rFonts w:cstheme="minorHAnsi"/>
        </w:rPr>
        <w:t>here is a tension</w:t>
      </w:r>
      <w:r w:rsidRPr="008D04B1">
        <w:rPr>
          <w:rFonts w:cstheme="minorHAnsi"/>
        </w:rPr>
        <w:t xml:space="preserve"> in G</w:t>
      </w:r>
      <w:r w:rsidR="00F31AEB" w:rsidRPr="008D04B1">
        <w:rPr>
          <w:rFonts w:cstheme="minorHAnsi"/>
        </w:rPr>
        <w:t>overnment policy</w:t>
      </w:r>
      <w:r w:rsidRPr="008D04B1">
        <w:rPr>
          <w:rFonts w:cstheme="minorHAnsi"/>
        </w:rPr>
        <w:t xml:space="preserve"> between</w:t>
      </w:r>
      <w:r w:rsidR="00C7030D" w:rsidRPr="008D04B1">
        <w:rPr>
          <w:rFonts w:cstheme="minorHAnsi"/>
        </w:rPr>
        <w:t xml:space="preserve"> a consumerist emphasis on </w:t>
      </w:r>
      <w:r w:rsidR="00B5154B">
        <w:rPr>
          <w:rFonts w:cstheme="minorHAnsi"/>
        </w:rPr>
        <w:t>choice and c</w:t>
      </w:r>
      <w:r w:rsidR="00B5154B" w:rsidRPr="008D04B1">
        <w:rPr>
          <w:rFonts w:cstheme="minorHAnsi"/>
        </w:rPr>
        <w:t>onvenience</w:t>
      </w:r>
      <w:r w:rsidR="00C7030D" w:rsidRPr="008D04B1">
        <w:rPr>
          <w:rFonts w:cstheme="minorHAnsi"/>
        </w:rPr>
        <w:t xml:space="preserve"> for people wanting an episodic response to acute health problems</w:t>
      </w:r>
      <w:r w:rsidR="00697192" w:rsidRPr="008D04B1">
        <w:rPr>
          <w:rFonts w:cstheme="minorHAnsi"/>
        </w:rPr>
        <w:t>,</w:t>
      </w:r>
      <w:r w:rsidR="00C7030D" w:rsidRPr="008D04B1">
        <w:rPr>
          <w:rFonts w:cstheme="minorHAnsi"/>
        </w:rPr>
        <w:t xml:space="preserve"> and a focus on continuity in chronic care, particularly</w:t>
      </w:r>
      <w:r w:rsidR="00F31AEB" w:rsidRPr="008D04B1">
        <w:rPr>
          <w:rFonts w:cstheme="minorHAnsi"/>
        </w:rPr>
        <w:t xml:space="preserve"> for older patients.</w:t>
      </w:r>
      <w:r w:rsidR="002F4D86" w:rsidRPr="008D04B1">
        <w:rPr>
          <w:rFonts w:cstheme="minorHAnsi"/>
        </w:rPr>
        <w:t xml:space="preserve"> </w:t>
      </w:r>
      <w:r w:rsidR="00F31AEB" w:rsidRPr="008D04B1">
        <w:rPr>
          <w:rFonts w:cstheme="minorHAnsi"/>
        </w:rPr>
        <w:t>The</w:t>
      </w:r>
      <w:r w:rsidR="00C7030D" w:rsidRPr="008D04B1">
        <w:rPr>
          <w:rFonts w:cstheme="minorHAnsi"/>
        </w:rPr>
        <w:t xml:space="preserve"> 201</w:t>
      </w:r>
      <w:r w:rsidR="005E77D3">
        <w:rPr>
          <w:rFonts w:cstheme="minorHAnsi"/>
        </w:rPr>
        <w:t>3/14</w:t>
      </w:r>
      <w:r w:rsidR="00C7030D" w:rsidRPr="008D04B1">
        <w:rPr>
          <w:rFonts w:cstheme="minorHAnsi"/>
        </w:rPr>
        <w:t xml:space="preserve"> changes to the</w:t>
      </w:r>
      <w:r w:rsidR="00F31AEB" w:rsidRPr="008D04B1">
        <w:rPr>
          <w:rFonts w:cstheme="minorHAnsi"/>
        </w:rPr>
        <w:t xml:space="preserve"> </w:t>
      </w:r>
      <w:r w:rsidR="00C7030D" w:rsidRPr="008D04B1">
        <w:rPr>
          <w:rFonts w:cstheme="minorHAnsi"/>
        </w:rPr>
        <w:t>NHS General Medical Services embody this</w:t>
      </w:r>
      <w:r w:rsidR="00697192" w:rsidRPr="008D04B1">
        <w:rPr>
          <w:rFonts w:cstheme="minorHAnsi"/>
        </w:rPr>
        <w:t xml:space="preserve"> </w:t>
      </w:r>
      <w:r w:rsidR="00C7030D" w:rsidRPr="008D04B1">
        <w:rPr>
          <w:rFonts w:cstheme="minorHAnsi"/>
        </w:rPr>
        <w:t>with</w:t>
      </w:r>
      <w:r w:rsidR="00F31AEB" w:rsidRPr="008D04B1">
        <w:rPr>
          <w:rFonts w:cstheme="minorHAnsi"/>
        </w:rPr>
        <w:t xml:space="preserve"> the</w:t>
      </w:r>
      <w:r w:rsidR="00266A2B">
        <w:rPr>
          <w:rFonts w:cstheme="minorHAnsi"/>
        </w:rPr>
        <w:t xml:space="preserve"> planned</w:t>
      </w:r>
      <w:r w:rsidR="00F31AEB" w:rsidRPr="008D04B1">
        <w:rPr>
          <w:rFonts w:cstheme="minorHAnsi"/>
        </w:rPr>
        <w:t xml:space="preserve"> removal of </w:t>
      </w:r>
      <w:r w:rsidR="00C7030D" w:rsidRPr="008D04B1">
        <w:rPr>
          <w:rFonts w:cstheme="minorHAnsi"/>
        </w:rPr>
        <w:t>practice</w:t>
      </w:r>
      <w:r w:rsidR="00F31AEB" w:rsidRPr="008D04B1">
        <w:rPr>
          <w:rFonts w:cstheme="minorHAnsi"/>
        </w:rPr>
        <w:t xml:space="preserve"> boundaries</w:t>
      </w:r>
      <w:r w:rsidR="00266A2B">
        <w:rPr>
          <w:rFonts w:cstheme="minorHAnsi"/>
        </w:rPr>
        <w:t xml:space="preserve"> from 2015</w:t>
      </w:r>
      <w:r w:rsidR="00B5154B">
        <w:rPr>
          <w:rFonts w:cstheme="minorHAnsi"/>
        </w:rPr>
        <w:t xml:space="preserve">, </w:t>
      </w:r>
      <w:r w:rsidR="008C7DBA" w:rsidRPr="008D04B1">
        <w:rPr>
          <w:rFonts w:cstheme="minorHAnsi"/>
        </w:rPr>
        <w:t>yet</w:t>
      </w:r>
      <w:r w:rsidR="00B5154B">
        <w:rPr>
          <w:rFonts w:cstheme="minorHAnsi"/>
        </w:rPr>
        <w:t xml:space="preserve"> accompanied by</w:t>
      </w:r>
      <w:r w:rsidR="00F31AEB" w:rsidRPr="008D04B1">
        <w:rPr>
          <w:rFonts w:cstheme="minorHAnsi"/>
        </w:rPr>
        <w:t xml:space="preserve"> the introduc</w:t>
      </w:r>
      <w:r w:rsidR="00C7030D" w:rsidRPr="008D04B1">
        <w:rPr>
          <w:rFonts w:cstheme="minorHAnsi"/>
        </w:rPr>
        <w:t>tion of</w:t>
      </w:r>
      <w:r w:rsidR="00F31AEB" w:rsidRPr="008D04B1">
        <w:rPr>
          <w:rFonts w:cstheme="minorHAnsi"/>
        </w:rPr>
        <w:t xml:space="preserve"> a named GP for all registered patients over 75 years of age to strengthen chronic care and</w:t>
      </w:r>
      <w:r w:rsidR="00C7030D" w:rsidRPr="008D04B1">
        <w:rPr>
          <w:rFonts w:cstheme="minorHAnsi"/>
        </w:rPr>
        <w:t xml:space="preserve"> strengthen patients’</w:t>
      </w:r>
      <w:r w:rsidR="00E204A9" w:rsidRPr="008D04B1">
        <w:rPr>
          <w:rFonts w:cstheme="minorHAnsi"/>
        </w:rPr>
        <w:t xml:space="preserve"> relationships with</w:t>
      </w:r>
      <w:r w:rsidR="00C7030D" w:rsidRPr="008D04B1">
        <w:rPr>
          <w:rFonts w:cstheme="minorHAnsi"/>
        </w:rPr>
        <w:t xml:space="preserve"> local</w:t>
      </w:r>
      <w:r w:rsidR="00E204A9" w:rsidRPr="008D04B1">
        <w:rPr>
          <w:rFonts w:cstheme="minorHAnsi"/>
        </w:rPr>
        <w:t xml:space="preserve"> practice</w:t>
      </w:r>
      <w:r w:rsidR="00F31AEB" w:rsidRPr="008D04B1">
        <w:rPr>
          <w:rFonts w:cstheme="minorHAnsi"/>
        </w:rPr>
        <w:t>s.</w:t>
      </w:r>
      <w:r w:rsidR="00F13247">
        <w:rPr>
          <w:rFonts w:cstheme="minorHAnsi"/>
        </w:rPr>
        <w:t xml:space="preserve">  The</w:t>
      </w:r>
      <w:r w:rsidR="00266A2B">
        <w:rPr>
          <w:rFonts w:cstheme="minorHAnsi"/>
        </w:rPr>
        <w:t xml:space="preserve"> Conservative Party, the larger of the two parties in the current </w:t>
      </w:r>
      <w:r w:rsidR="00B5154B">
        <w:rPr>
          <w:rFonts w:cstheme="minorHAnsi"/>
        </w:rPr>
        <w:t>C</w:t>
      </w:r>
      <w:r w:rsidR="00266A2B">
        <w:rPr>
          <w:rFonts w:cstheme="minorHAnsi"/>
        </w:rPr>
        <w:t>oalition</w:t>
      </w:r>
      <w:r w:rsidR="00F13247">
        <w:rPr>
          <w:rFonts w:cstheme="minorHAnsi"/>
        </w:rPr>
        <w:t xml:space="preserve"> </w:t>
      </w:r>
      <w:r w:rsidR="00B5154B">
        <w:rPr>
          <w:rFonts w:cstheme="minorHAnsi"/>
        </w:rPr>
        <w:t>G</w:t>
      </w:r>
      <w:r w:rsidR="00F13247">
        <w:rPr>
          <w:rFonts w:cstheme="minorHAnsi"/>
        </w:rPr>
        <w:t>overnment</w:t>
      </w:r>
      <w:r w:rsidR="00266A2B">
        <w:rPr>
          <w:rFonts w:cstheme="minorHAnsi"/>
        </w:rPr>
        <w:t>,</w:t>
      </w:r>
      <w:r w:rsidR="00F13247">
        <w:rPr>
          <w:rFonts w:cstheme="minorHAnsi"/>
        </w:rPr>
        <w:t xml:space="preserve"> has reiterated</w:t>
      </w:r>
      <w:r w:rsidR="00266A2B">
        <w:rPr>
          <w:rFonts w:cstheme="minorHAnsi"/>
        </w:rPr>
        <w:t xml:space="preserve"> its</w:t>
      </w:r>
      <w:r w:rsidR="00F13247">
        <w:rPr>
          <w:rFonts w:cstheme="minorHAnsi"/>
        </w:rPr>
        <w:t xml:space="preserve"> commitment to </w:t>
      </w:r>
      <w:r w:rsidR="00266A2B">
        <w:rPr>
          <w:rFonts w:cstheme="minorHAnsi"/>
        </w:rPr>
        <w:t>improving convenience for those with acute health problems</w:t>
      </w:r>
      <w:r w:rsidR="00F13247">
        <w:rPr>
          <w:rFonts w:cstheme="minorHAnsi"/>
        </w:rPr>
        <w:t xml:space="preserve"> with</w:t>
      </w:r>
      <w:r w:rsidR="00266A2B">
        <w:rPr>
          <w:rFonts w:cstheme="minorHAnsi"/>
        </w:rPr>
        <w:t xml:space="preserve"> its</w:t>
      </w:r>
      <w:r w:rsidR="00F13247">
        <w:rPr>
          <w:rFonts w:cstheme="minorHAnsi"/>
        </w:rPr>
        <w:t xml:space="preserve"> recent pledge to roll out seven</w:t>
      </w:r>
      <w:r w:rsidR="00266A2B">
        <w:rPr>
          <w:rFonts w:cstheme="minorHAnsi"/>
        </w:rPr>
        <w:t>-</w:t>
      </w:r>
      <w:r w:rsidR="00F13247">
        <w:rPr>
          <w:rFonts w:cstheme="minorHAnsi"/>
        </w:rPr>
        <w:t>day</w:t>
      </w:r>
      <w:r w:rsidR="004359CA">
        <w:rPr>
          <w:rFonts w:cstheme="minorHAnsi"/>
        </w:rPr>
        <w:t xml:space="preserve"> access to GPs</w:t>
      </w:r>
      <w:r w:rsidR="00F13247">
        <w:rPr>
          <w:rFonts w:cstheme="minorHAnsi"/>
        </w:rPr>
        <w:t xml:space="preserve"> across the country by 2020</w:t>
      </w:r>
      <w:r w:rsidR="00266A2B">
        <w:rPr>
          <w:rFonts w:cstheme="minorHAnsi"/>
        </w:rPr>
        <w:t xml:space="preserve"> if it is elected at the May 2015 general election</w:t>
      </w:r>
      <w:r w:rsidR="00A4727D">
        <w:rPr>
          <w:rFonts w:cstheme="minorHAnsi"/>
        </w:rPr>
        <w:t xml:space="preserve"> </w:t>
      </w:r>
      <w:r w:rsidR="00EF6E4D">
        <w:rPr>
          <w:rFonts w:cstheme="minorHAnsi"/>
        </w:rPr>
        <w:fldChar w:fldCharType="begin"/>
      </w:r>
      <w:r w:rsidR="00A4727D">
        <w:rPr>
          <w:rFonts w:cstheme="minorHAnsi"/>
        </w:rPr>
        <w:instrText xml:space="preserve"> ADDIN EN.CITE &lt;EndNote&gt;&lt;Cite&gt;&lt;Author&gt;Wintour&lt;/Author&gt;&lt;Year&gt;2014&lt;/Year&gt;&lt;RecNum&gt;90&lt;/RecNum&gt;&lt;DisplayText&gt;(18)&lt;/DisplayText&gt;&lt;record&gt;&lt;rec-number&gt;90&lt;/rec-number&gt;&lt;foreign-keys&gt;&lt;key app="EN" db-id="ptdswpda0va5vqe5pzg5w50lf0txassaw0zx"&gt;90&lt;/key&gt;&lt;/foreign-keys&gt;&lt;ref-type name="Newspaper Article"&gt;23&lt;/ref-type&gt;&lt;contributors&gt;&lt;authors&gt;&lt;author&gt;Wintour, Patrick&lt;/author&gt;&lt;/authors&gt;&lt;/contributors&gt;&lt;titles&gt;&lt;title&gt;GP access seven days a week by 2020 ‘guaranteed’ under Tories – Cameron&lt;/title&gt;&lt;secondary-title&gt;Guardian&lt;/secondary-title&gt;&lt;/titles&gt;&lt;dates&gt;&lt;year&gt;2014&lt;/year&gt;&lt;/dates&gt;&lt;urls&gt;&lt;related-urls&gt;&lt;url&gt;http://www.theguardian.com/society/2014/sep/30/gp-access-seven-days-week-2020-tory-cameron&lt;/url&gt;&lt;/related-urls&gt;&lt;/urls&gt;&lt;/record&gt;&lt;/Cite&gt;&lt;/EndNote&gt;</w:instrText>
      </w:r>
      <w:r w:rsidR="00EF6E4D">
        <w:rPr>
          <w:rFonts w:cstheme="minorHAnsi"/>
        </w:rPr>
        <w:fldChar w:fldCharType="separate"/>
      </w:r>
      <w:r w:rsidR="00A4727D">
        <w:rPr>
          <w:rFonts w:cstheme="minorHAnsi"/>
          <w:noProof/>
        </w:rPr>
        <w:t>(</w:t>
      </w:r>
      <w:hyperlink w:anchor="_ENREF_18" w:tooltip="Wintour, 2014 #90" w:history="1">
        <w:r w:rsidR="00A4727D">
          <w:rPr>
            <w:rFonts w:cstheme="minorHAnsi"/>
            <w:noProof/>
          </w:rPr>
          <w:t>18</w:t>
        </w:r>
      </w:hyperlink>
      <w:r w:rsidR="00A4727D">
        <w:rPr>
          <w:rFonts w:cstheme="minorHAnsi"/>
          <w:noProof/>
        </w:rPr>
        <w:t>)</w:t>
      </w:r>
      <w:r w:rsidR="00EF6E4D">
        <w:rPr>
          <w:rFonts w:cstheme="minorHAnsi"/>
        </w:rPr>
        <w:fldChar w:fldCharType="end"/>
      </w:r>
      <w:r w:rsidR="00F13247">
        <w:rPr>
          <w:rFonts w:cstheme="minorHAnsi"/>
        </w:rPr>
        <w:t>.</w:t>
      </w:r>
    </w:p>
    <w:p w14:paraId="72E4F88D" w14:textId="77777777" w:rsidR="00F31AEB" w:rsidRPr="008D04B1" w:rsidRDefault="00F31AEB" w:rsidP="00F31AEB">
      <w:pPr>
        <w:spacing w:line="360" w:lineRule="auto"/>
        <w:rPr>
          <w:rFonts w:cstheme="minorHAnsi"/>
        </w:rPr>
      </w:pPr>
    </w:p>
    <w:p w14:paraId="55203933" w14:textId="2171A1AD" w:rsidR="00A20838" w:rsidRPr="008D04B1" w:rsidRDefault="00FA1626" w:rsidP="006D3C5B">
      <w:pPr>
        <w:spacing w:line="360" w:lineRule="auto"/>
        <w:rPr>
          <w:rFonts w:cstheme="minorHAnsi"/>
        </w:rPr>
      </w:pPr>
      <w:r w:rsidRPr="008D04B1">
        <w:rPr>
          <w:rFonts w:cstheme="minorHAnsi"/>
        </w:rPr>
        <w:t xml:space="preserve"> </w:t>
      </w:r>
      <w:r w:rsidR="00C7030D" w:rsidRPr="008D04B1">
        <w:rPr>
          <w:rFonts w:cstheme="minorHAnsi"/>
        </w:rPr>
        <w:t>Our view is that</w:t>
      </w:r>
      <w:r w:rsidR="00677F88" w:rsidRPr="008D04B1">
        <w:rPr>
          <w:rFonts w:cstheme="minorHAnsi"/>
        </w:rPr>
        <w:t xml:space="preserve"> there are</w:t>
      </w:r>
      <w:r w:rsidR="008C7DBA" w:rsidRPr="008D04B1">
        <w:rPr>
          <w:rFonts w:cstheme="minorHAnsi"/>
        </w:rPr>
        <w:t xml:space="preserve"> likely to be</w:t>
      </w:r>
      <w:r w:rsidR="00677F88" w:rsidRPr="008D04B1">
        <w:rPr>
          <w:rFonts w:cstheme="minorHAnsi"/>
        </w:rPr>
        <w:t xml:space="preserve"> other simpler, less costly, ways of improving convenience and access than</w:t>
      </w:r>
      <w:r w:rsidRPr="008D04B1">
        <w:rPr>
          <w:rFonts w:cstheme="minorHAnsi"/>
        </w:rPr>
        <w:t xml:space="preserve"> removal of practice boundaries</w:t>
      </w:r>
      <w:r w:rsidR="00677F88" w:rsidRPr="008D04B1">
        <w:rPr>
          <w:rFonts w:cstheme="minorHAnsi"/>
        </w:rPr>
        <w:t xml:space="preserve"> (albeit not involving greater choice of practice</w:t>
      </w:r>
      <w:r w:rsidR="00A20838" w:rsidRPr="008D04B1">
        <w:rPr>
          <w:rFonts w:cstheme="minorHAnsi"/>
        </w:rPr>
        <w:t xml:space="preserve"> in the same way</w:t>
      </w:r>
      <w:r w:rsidR="00677F88" w:rsidRPr="008D04B1">
        <w:rPr>
          <w:rFonts w:cstheme="minorHAnsi"/>
        </w:rPr>
        <w:t>)</w:t>
      </w:r>
      <w:r w:rsidR="008C7DBA" w:rsidRPr="008D04B1">
        <w:rPr>
          <w:rFonts w:cstheme="minorHAnsi"/>
        </w:rPr>
        <w:t>,</w:t>
      </w:r>
      <w:r w:rsidR="00677F88" w:rsidRPr="008D04B1">
        <w:rPr>
          <w:rFonts w:cstheme="minorHAnsi"/>
        </w:rPr>
        <w:t xml:space="preserve"> such as extending opening hours and offering alternatives to face-to-face consultation</w:t>
      </w:r>
      <w:r w:rsidR="00266A2B">
        <w:rPr>
          <w:rFonts w:cstheme="minorHAnsi"/>
        </w:rPr>
        <w:t xml:space="preserve"> </w:t>
      </w:r>
      <w:r w:rsidR="00815E6C">
        <w:rPr>
          <w:rFonts w:cstheme="minorHAnsi"/>
        </w:rPr>
        <w:t xml:space="preserve">such as telephone consultations </w:t>
      </w:r>
      <w:r w:rsidR="00266A2B">
        <w:rPr>
          <w:rFonts w:cstheme="minorHAnsi"/>
        </w:rPr>
        <w:t>(</w:t>
      </w:r>
      <w:r w:rsidR="00815E6C">
        <w:rPr>
          <w:rFonts w:cstheme="minorHAnsi"/>
        </w:rPr>
        <w:t>although</w:t>
      </w:r>
      <w:r w:rsidR="00266A2B">
        <w:rPr>
          <w:rFonts w:cstheme="minorHAnsi"/>
        </w:rPr>
        <w:t xml:space="preserve"> it has to be recognized that</w:t>
      </w:r>
      <w:r w:rsidR="00815E6C">
        <w:rPr>
          <w:rFonts w:cstheme="minorHAnsi"/>
        </w:rPr>
        <w:t xml:space="preserve"> these have not been shown to decrease demand for</w:t>
      </w:r>
      <w:r w:rsidR="00266A2B">
        <w:rPr>
          <w:rFonts w:cstheme="minorHAnsi"/>
        </w:rPr>
        <w:t xml:space="preserve"> face-to-face</w:t>
      </w:r>
      <w:r w:rsidR="00815E6C">
        <w:rPr>
          <w:rFonts w:cstheme="minorHAnsi"/>
        </w:rPr>
        <w:t xml:space="preserve"> GP services</w:t>
      </w:r>
      <w:r w:rsidR="00266A2B">
        <w:rPr>
          <w:rFonts w:cstheme="minorHAnsi"/>
        </w:rPr>
        <w:t>)</w:t>
      </w:r>
      <w:r w:rsidR="00A4727D">
        <w:rPr>
          <w:rFonts w:cstheme="minorHAnsi"/>
        </w:rPr>
        <w:t xml:space="preserve"> </w:t>
      </w:r>
      <w:r w:rsidR="00EF6E4D">
        <w:rPr>
          <w:rFonts w:cstheme="minorHAnsi"/>
        </w:rPr>
        <w:fldChar w:fldCharType="begin"/>
      </w:r>
      <w:r w:rsidR="00A4727D">
        <w:rPr>
          <w:rFonts w:cstheme="minorHAnsi"/>
        </w:rPr>
        <w:instrText xml:space="preserve"> ADDIN EN.CITE &lt;EndNote&gt;&lt;Cite&gt;&lt;Author&gt;Arain&lt;/Author&gt;&lt;Year&gt;2014&lt;/Year&gt;&lt;RecNum&gt;69&lt;/RecNum&gt;&lt;DisplayText&gt;(19)&lt;/DisplayText&gt;&lt;record&gt;&lt;rec-number&gt;69&lt;/rec-number&gt;&lt;foreign-keys&gt;&lt;key app="EN" db-id="ptdswpda0va5vqe5pzg5w50lf0txassaw0zx"&gt;69&lt;/key&gt;&lt;/foreign-keys&gt;&lt;ref-type name="Journal Article"&gt;17&lt;/ref-type&gt;&lt;contributors&gt;&lt;authors&gt;&lt;author&gt;Arain, M&lt;/author&gt;&lt;author&gt;Campbell, MJ&lt;/author&gt;&lt;author&gt;Nicholl, JP&lt;/author&gt;&lt;/authors&gt;&lt;/contributors&gt;&lt;titles&gt;&lt;title&gt;Impact of a GP-led walk-in centre on NHS emergency departments&lt;/title&gt;&lt;secondary-title&gt;Emergency Medicine Journal&lt;/secondary-title&gt;&lt;/titles&gt;&lt;periodical&gt;&lt;full-title&gt;Emergency Medicine Journal&lt;/full-title&gt;&lt;/periodical&gt;&lt;pages&gt;emermed-2013-202410&lt;/pages&gt;&lt;dates&gt;&lt;year&gt;2014&lt;/year&gt;&lt;/dates&gt;&lt;isbn&gt;1472-0213&lt;/isbn&gt;&lt;urls&gt;&lt;/urls&gt;&lt;/record&gt;&lt;/Cite&gt;&lt;/EndNote&gt;</w:instrText>
      </w:r>
      <w:r w:rsidR="00EF6E4D">
        <w:rPr>
          <w:rFonts w:cstheme="minorHAnsi"/>
        </w:rPr>
        <w:fldChar w:fldCharType="separate"/>
      </w:r>
      <w:r w:rsidR="00A4727D">
        <w:rPr>
          <w:rFonts w:cstheme="minorHAnsi"/>
          <w:noProof/>
        </w:rPr>
        <w:t>(</w:t>
      </w:r>
      <w:hyperlink w:anchor="_ENREF_19" w:tooltip="Arain, 2014 #69" w:history="1">
        <w:r w:rsidR="00A4727D">
          <w:rPr>
            <w:rFonts w:cstheme="minorHAnsi"/>
            <w:noProof/>
          </w:rPr>
          <w:t>19</w:t>
        </w:r>
      </w:hyperlink>
      <w:r w:rsidR="00A4727D">
        <w:rPr>
          <w:rFonts w:cstheme="minorHAnsi"/>
          <w:noProof/>
        </w:rPr>
        <w:t>)</w:t>
      </w:r>
      <w:r w:rsidR="00EF6E4D">
        <w:rPr>
          <w:rFonts w:cstheme="minorHAnsi"/>
        </w:rPr>
        <w:fldChar w:fldCharType="end"/>
      </w:r>
      <w:r w:rsidR="00677F88" w:rsidRPr="008D04B1">
        <w:rPr>
          <w:rFonts w:cstheme="minorHAnsi"/>
        </w:rPr>
        <w:t xml:space="preserve">.  On the other hand, </w:t>
      </w:r>
      <w:r w:rsidR="00C7030D" w:rsidRPr="008D04B1">
        <w:rPr>
          <w:rFonts w:cstheme="minorHAnsi"/>
        </w:rPr>
        <w:t>if properly implemented</w:t>
      </w:r>
      <w:r w:rsidR="003254D0" w:rsidRPr="008D04B1">
        <w:rPr>
          <w:rFonts w:cstheme="minorHAnsi"/>
        </w:rPr>
        <w:t xml:space="preserve"> and regulated</w:t>
      </w:r>
      <w:r w:rsidR="00C7030D" w:rsidRPr="008D04B1">
        <w:rPr>
          <w:rFonts w:cstheme="minorHAnsi"/>
        </w:rPr>
        <w:t>,</w:t>
      </w:r>
      <w:r w:rsidR="003254D0" w:rsidRPr="008D04B1">
        <w:rPr>
          <w:rFonts w:cstheme="minorHAnsi"/>
        </w:rPr>
        <w:t xml:space="preserve"> </w:t>
      </w:r>
      <w:r w:rsidR="00266A2B">
        <w:rPr>
          <w:rFonts w:cstheme="minorHAnsi"/>
        </w:rPr>
        <w:t>removal of practice boundaries</w:t>
      </w:r>
      <w:r w:rsidR="003254D0" w:rsidRPr="008D04B1">
        <w:rPr>
          <w:rFonts w:cstheme="minorHAnsi"/>
        </w:rPr>
        <w:t xml:space="preserve"> has the potential to improve choice</w:t>
      </w:r>
      <w:r w:rsidR="00677F88" w:rsidRPr="008D04B1">
        <w:rPr>
          <w:rFonts w:cstheme="minorHAnsi"/>
        </w:rPr>
        <w:t xml:space="preserve"> and convenience</w:t>
      </w:r>
      <w:r w:rsidR="003254D0" w:rsidRPr="008D04B1">
        <w:rPr>
          <w:rFonts w:cstheme="minorHAnsi"/>
        </w:rPr>
        <w:t xml:space="preserve"> for</w:t>
      </w:r>
      <w:r w:rsidR="00C7030D" w:rsidRPr="008D04B1">
        <w:rPr>
          <w:rFonts w:cstheme="minorHAnsi"/>
        </w:rPr>
        <w:t xml:space="preserve"> a sub-group</w:t>
      </w:r>
      <w:r w:rsidR="00677F88" w:rsidRPr="008D04B1">
        <w:rPr>
          <w:rFonts w:cstheme="minorHAnsi"/>
        </w:rPr>
        <w:t xml:space="preserve"> of</w:t>
      </w:r>
      <w:r w:rsidR="00C7030D" w:rsidRPr="008D04B1">
        <w:rPr>
          <w:rFonts w:cstheme="minorHAnsi"/>
        </w:rPr>
        <w:t xml:space="preserve"> the population</w:t>
      </w:r>
      <w:r w:rsidR="003254D0" w:rsidRPr="008D04B1">
        <w:rPr>
          <w:rFonts w:cstheme="minorHAnsi"/>
        </w:rPr>
        <w:t xml:space="preserve"> and at lower marginal costs than new provision (e.g. </w:t>
      </w:r>
      <w:r w:rsidR="00677F88" w:rsidRPr="008D04B1">
        <w:rPr>
          <w:rFonts w:cstheme="minorHAnsi"/>
        </w:rPr>
        <w:t xml:space="preserve">GP </w:t>
      </w:r>
      <w:r w:rsidR="00DC2D4E" w:rsidRPr="008D04B1">
        <w:rPr>
          <w:rFonts w:cstheme="minorHAnsi"/>
        </w:rPr>
        <w:t>walk-</w:t>
      </w:r>
      <w:r w:rsidR="003254D0" w:rsidRPr="008D04B1">
        <w:rPr>
          <w:rFonts w:cstheme="minorHAnsi"/>
        </w:rPr>
        <w:t>in centres).</w:t>
      </w:r>
      <w:r w:rsidR="00394043" w:rsidRPr="008D04B1">
        <w:rPr>
          <w:rFonts w:cstheme="minorHAnsi"/>
        </w:rPr>
        <w:t xml:space="preserve">  </w:t>
      </w:r>
      <w:r w:rsidR="00266A2B">
        <w:rPr>
          <w:rFonts w:cstheme="minorHAnsi"/>
        </w:rPr>
        <w:t>However, i</w:t>
      </w:r>
      <w:r w:rsidR="00394043" w:rsidRPr="008D04B1">
        <w:rPr>
          <w:rFonts w:cstheme="minorHAnsi"/>
        </w:rPr>
        <w:t xml:space="preserve">t may lengthen waiting times in popular practices to the detriment of those previously registered. </w:t>
      </w:r>
      <w:r w:rsidR="002F4D86" w:rsidRPr="008D04B1">
        <w:rPr>
          <w:rFonts w:cstheme="minorHAnsi"/>
        </w:rPr>
        <w:t xml:space="preserve"> </w:t>
      </w:r>
      <w:r w:rsidR="003254D0" w:rsidRPr="008D04B1">
        <w:rPr>
          <w:rFonts w:cstheme="minorHAnsi"/>
        </w:rPr>
        <w:t xml:space="preserve">It </w:t>
      </w:r>
      <w:r w:rsidR="00677F88" w:rsidRPr="008D04B1">
        <w:rPr>
          <w:rFonts w:cstheme="minorHAnsi"/>
        </w:rPr>
        <w:t>will</w:t>
      </w:r>
      <w:r w:rsidR="00394043" w:rsidRPr="008D04B1">
        <w:rPr>
          <w:rFonts w:cstheme="minorHAnsi"/>
        </w:rPr>
        <w:t xml:space="preserve"> also</w:t>
      </w:r>
      <w:r w:rsidR="003254D0" w:rsidRPr="008D04B1">
        <w:rPr>
          <w:rFonts w:cstheme="minorHAnsi"/>
        </w:rPr>
        <w:t xml:space="preserve"> increase overall costs modestly </w:t>
      </w:r>
      <w:r w:rsidR="00677F88" w:rsidRPr="008D04B1">
        <w:rPr>
          <w:rFonts w:cstheme="minorHAnsi"/>
          <w:lang w:val="en-GB"/>
        </w:rPr>
        <w:t xml:space="preserve">since </w:t>
      </w:r>
      <w:r w:rsidR="00E130FB" w:rsidRPr="008D04B1">
        <w:rPr>
          <w:rFonts w:cstheme="minorHAnsi"/>
          <w:lang w:val="en-GB"/>
        </w:rPr>
        <w:t>there will</w:t>
      </w:r>
      <w:r w:rsidR="00677F88" w:rsidRPr="008D04B1">
        <w:rPr>
          <w:rFonts w:cstheme="minorHAnsi"/>
          <w:lang w:val="en-GB"/>
        </w:rPr>
        <w:t xml:space="preserve"> have to</w:t>
      </w:r>
      <w:r w:rsidR="00E130FB" w:rsidRPr="008D04B1">
        <w:rPr>
          <w:rFonts w:cstheme="minorHAnsi"/>
          <w:lang w:val="en-GB"/>
        </w:rPr>
        <w:t xml:space="preserve"> be a degree of double funding to provide</w:t>
      </w:r>
      <w:r w:rsidR="00A20838" w:rsidRPr="008D04B1">
        <w:rPr>
          <w:rFonts w:cstheme="minorHAnsi"/>
          <w:lang w:val="en-GB"/>
        </w:rPr>
        <w:t xml:space="preserve"> in-hours urgent primary </w:t>
      </w:r>
      <w:r w:rsidR="00E130FB" w:rsidRPr="008D04B1">
        <w:rPr>
          <w:rFonts w:cstheme="minorHAnsi"/>
          <w:lang w:val="en-GB"/>
        </w:rPr>
        <w:t>care in out</w:t>
      </w:r>
      <w:r w:rsidR="00A20838" w:rsidRPr="008D04B1">
        <w:rPr>
          <w:rFonts w:cstheme="minorHAnsi"/>
          <w:lang w:val="en-GB"/>
        </w:rPr>
        <w:t>-</w:t>
      </w:r>
      <w:r w:rsidR="00E130FB" w:rsidRPr="008D04B1">
        <w:rPr>
          <w:rFonts w:cstheme="minorHAnsi"/>
          <w:lang w:val="en-GB"/>
        </w:rPr>
        <w:t>of</w:t>
      </w:r>
      <w:r w:rsidR="00A20838" w:rsidRPr="008D04B1">
        <w:rPr>
          <w:rFonts w:cstheme="minorHAnsi"/>
          <w:lang w:val="en-GB"/>
        </w:rPr>
        <w:t>-</w:t>
      </w:r>
      <w:r w:rsidR="00E130FB" w:rsidRPr="008D04B1">
        <w:rPr>
          <w:rFonts w:cstheme="minorHAnsi"/>
          <w:lang w:val="en-GB"/>
        </w:rPr>
        <w:t>area patients’ home</w:t>
      </w:r>
      <w:r w:rsidR="00B5154B">
        <w:rPr>
          <w:rFonts w:cstheme="minorHAnsi"/>
          <w:lang w:val="en-GB"/>
        </w:rPr>
        <w:t xml:space="preserve"> areas</w:t>
      </w:r>
      <w:r w:rsidR="003254D0" w:rsidRPr="008D04B1">
        <w:rPr>
          <w:rFonts w:cstheme="minorHAnsi"/>
          <w:lang w:val="en-GB"/>
        </w:rPr>
        <w:t>.</w:t>
      </w:r>
      <w:r w:rsidR="002F4D86" w:rsidRPr="008D04B1">
        <w:rPr>
          <w:rFonts w:cstheme="minorHAnsi"/>
          <w:lang w:val="en-GB"/>
        </w:rPr>
        <w:t xml:space="preserve"> </w:t>
      </w:r>
      <w:r w:rsidR="003254D0" w:rsidRPr="008D04B1">
        <w:rPr>
          <w:rFonts w:cstheme="minorHAnsi"/>
        </w:rPr>
        <w:t xml:space="preserve"> </w:t>
      </w:r>
    </w:p>
    <w:p w14:paraId="503F3CA8" w14:textId="77777777" w:rsidR="00A20838" w:rsidRPr="008D04B1" w:rsidRDefault="00A20838" w:rsidP="006D3C5B">
      <w:pPr>
        <w:spacing w:line="360" w:lineRule="auto"/>
        <w:rPr>
          <w:rFonts w:cstheme="minorHAnsi"/>
        </w:rPr>
      </w:pPr>
    </w:p>
    <w:p w14:paraId="2506DEC9" w14:textId="77777777" w:rsidR="006D3C5B" w:rsidRPr="008D04B1" w:rsidRDefault="00A20838" w:rsidP="006D3C5B">
      <w:pPr>
        <w:spacing w:line="360" w:lineRule="auto"/>
        <w:rPr>
          <w:rFonts w:cstheme="minorHAnsi"/>
          <w:lang w:val="en-GB"/>
        </w:rPr>
      </w:pPr>
      <w:r w:rsidRPr="008D04B1">
        <w:rPr>
          <w:rFonts w:cstheme="minorHAnsi"/>
          <w:lang w:val="en-GB"/>
        </w:rPr>
        <w:t>If increasing choice of practice is the central goal rather than more convenient access per se, t</w:t>
      </w:r>
      <w:r w:rsidR="006D3C5B" w:rsidRPr="008D04B1">
        <w:rPr>
          <w:rFonts w:cstheme="minorHAnsi"/>
          <w:lang w:val="en-GB"/>
        </w:rPr>
        <w:t>here</w:t>
      </w:r>
      <w:r w:rsidR="003254D0" w:rsidRPr="008D04B1">
        <w:rPr>
          <w:rFonts w:cstheme="minorHAnsi"/>
          <w:lang w:val="en-GB"/>
        </w:rPr>
        <w:t xml:space="preserve"> </w:t>
      </w:r>
      <w:r w:rsidRPr="008D04B1">
        <w:rPr>
          <w:rFonts w:cstheme="minorHAnsi"/>
          <w:lang w:val="en-GB"/>
        </w:rPr>
        <w:t xml:space="preserve">remain </w:t>
      </w:r>
      <w:r w:rsidR="006D3C5B" w:rsidRPr="008D04B1">
        <w:rPr>
          <w:rFonts w:cstheme="minorHAnsi"/>
          <w:lang w:val="en-GB"/>
        </w:rPr>
        <w:t>policy options</w:t>
      </w:r>
      <w:r w:rsidRPr="008D04B1">
        <w:rPr>
          <w:rFonts w:cstheme="minorHAnsi"/>
          <w:lang w:val="en-GB"/>
        </w:rPr>
        <w:t xml:space="preserve"> other than boundary removal</w:t>
      </w:r>
      <w:r w:rsidR="006D3C5B" w:rsidRPr="008D04B1">
        <w:rPr>
          <w:rFonts w:cstheme="minorHAnsi"/>
          <w:lang w:val="en-GB"/>
        </w:rPr>
        <w:t xml:space="preserve"> such as wider practice boundaries,</w:t>
      </w:r>
      <w:r w:rsidR="006A4222" w:rsidRPr="008D04B1">
        <w:rPr>
          <w:rFonts w:cstheme="minorHAnsi"/>
          <w:lang w:val="en-GB"/>
        </w:rPr>
        <w:t xml:space="preserve"> </w:t>
      </w:r>
      <w:r w:rsidR="00394043" w:rsidRPr="008D04B1">
        <w:rPr>
          <w:rFonts w:cstheme="minorHAnsi"/>
          <w:lang w:val="en-GB"/>
        </w:rPr>
        <w:t xml:space="preserve">or </w:t>
      </w:r>
      <w:r w:rsidR="006A4222" w:rsidRPr="008D04B1">
        <w:rPr>
          <w:rFonts w:cstheme="minorHAnsi"/>
          <w:lang w:val="en-GB"/>
        </w:rPr>
        <w:t>practices working increasingly in federations or networks</w:t>
      </w:r>
      <w:r w:rsidR="009D0342" w:rsidRPr="008D04B1">
        <w:rPr>
          <w:rFonts w:cstheme="minorHAnsi"/>
          <w:lang w:val="en-GB"/>
        </w:rPr>
        <w:t xml:space="preserve"> </w:t>
      </w:r>
      <w:r w:rsidR="009D0342" w:rsidRPr="008D04B1">
        <w:rPr>
          <w:rFonts w:cstheme="minorHAnsi"/>
          <w:lang w:val="en-GB"/>
        </w:rPr>
        <w:lastRenderedPageBreak/>
        <w:t>(with shared patient records)</w:t>
      </w:r>
      <w:r w:rsidR="006D3C5B" w:rsidRPr="008D04B1">
        <w:rPr>
          <w:rFonts w:cstheme="minorHAnsi"/>
          <w:lang w:val="en-GB"/>
        </w:rPr>
        <w:t>, without the</w:t>
      </w:r>
      <w:r w:rsidR="006A4222" w:rsidRPr="008D04B1">
        <w:rPr>
          <w:rFonts w:cstheme="minorHAnsi"/>
          <w:lang w:val="en-GB"/>
        </w:rPr>
        <w:t xml:space="preserve"> risks to quality of care caused by splitting responsibilities for care</w:t>
      </w:r>
      <w:r w:rsidR="006D3C5B" w:rsidRPr="008D04B1">
        <w:rPr>
          <w:rFonts w:cstheme="minorHAnsi"/>
          <w:lang w:val="en-GB"/>
        </w:rPr>
        <w:t xml:space="preserve"> that removing geographic boundaries may</w:t>
      </w:r>
      <w:r w:rsidR="006A4222" w:rsidRPr="008D04B1">
        <w:rPr>
          <w:rFonts w:cstheme="minorHAnsi"/>
          <w:lang w:val="en-GB"/>
        </w:rPr>
        <w:t xml:space="preserve"> generate</w:t>
      </w:r>
      <w:r w:rsidR="006D3C5B" w:rsidRPr="008D04B1">
        <w:rPr>
          <w:rFonts w:cstheme="minorHAnsi"/>
          <w:lang w:val="en-GB"/>
        </w:rPr>
        <w:t xml:space="preserve">. </w:t>
      </w:r>
    </w:p>
    <w:p w14:paraId="139D9220" w14:textId="77777777" w:rsidR="006A4222" w:rsidRPr="008D04B1" w:rsidRDefault="006A4222" w:rsidP="001934AA">
      <w:pPr>
        <w:spacing w:line="360" w:lineRule="auto"/>
        <w:rPr>
          <w:rFonts w:cstheme="minorHAnsi"/>
        </w:rPr>
      </w:pPr>
    </w:p>
    <w:p w14:paraId="1EFB8595" w14:textId="77777777" w:rsidR="000640FE" w:rsidRDefault="006A4222" w:rsidP="00DA5E4D">
      <w:pPr>
        <w:spacing w:line="360" w:lineRule="auto"/>
        <w:rPr>
          <w:rFonts w:cstheme="minorHAnsi"/>
        </w:rPr>
      </w:pPr>
      <w:r w:rsidRPr="008D04B1">
        <w:rPr>
          <w:rFonts w:cstheme="minorHAnsi"/>
        </w:rPr>
        <w:t>We expect that proponents and opponents of the policy will continue to have differing views on its impact in the absence of further evaluation.</w:t>
      </w:r>
      <w:r w:rsidR="002F4D86" w:rsidRPr="008D04B1">
        <w:rPr>
          <w:rFonts w:cstheme="minorHAnsi"/>
        </w:rPr>
        <w:t xml:space="preserve"> </w:t>
      </w:r>
      <w:r w:rsidRPr="008D04B1">
        <w:rPr>
          <w:rFonts w:cstheme="minorHAnsi"/>
        </w:rPr>
        <w:t>The wider roll out</w:t>
      </w:r>
      <w:r w:rsidR="009E4B3C" w:rsidRPr="008D04B1">
        <w:rPr>
          <w:rFonts w:cstheme="minorHAnsi"/>
        </w:rPr>
        <w:t xml:space="preserve"> </w:t>
      </w:r>
      <w:r w:rsidR="00EA489E" w:rsidRPr="008D04B1">
        <w:rPr>
          <w:rFonts w:cstheme="minorHAnsi"/>
        </w:rPr>
        <w:t>deserve</w:t>
      </w:r>
      <w:r w:rsidR="009E4B3C" w:rsidRPr="008D04B1">
        <w:rPr>
          <w:rFonts w:cstheme="minorHAnsi"/>
        </w:rPr>
        <w:t>s evaluation</w:t>
      </w:r>
      <w:r w:rsidRPr="008D04B1">
        <w:rPr>
          <w:rFonts w:cstheme="minorHAnsi"/>
        </w:rPr>
        <w:t>, not just the 12-month pilot.</w:t>
      </w:r>
      <w:r w:rsidR="002F4D86" w:rsidRPr="008D04B1">
        <w:rPr>
          <w:rFonts w:cstheme="minorHAnsi"/>
        </w:rPr>
        <w:t xml:space="preserve"> </w:t>
      </w:r>
      <w:r w:rsidRPr="008D04B1">
        <w:rPr>
          <w:rFonts w:cstheme="minorHAnsi"/>
        </w:rPr>
        <w:t>This should enable policy makers to modify the scheme, for example, in light of evidence of practice capacity problems</w:t>
      </w:r>
      <w:r w:rsidR="002F4D86" w:rsidRPr="008D04B1">
        <w:rPr>
          <w:rFonts w:cstheme="minorHAnsi"/>
        </w:rPr>
        <w:t xml:space="preserve"> </w:t>
      </w:r>
      <w:r w:rsidR="0068626A" w:rsidRPr="008D04B1">
        <w:rPr>
          <w:rFonts w:cstheme="minorHAnsi"/>
        </w:rPr>
        <w:t xml:space="preserve">in </w:t>
      </w:r>
      <w:r w:rsidR="005F0AA5" w:rsidRPr="008D04B1">
        <w:rPr>
          <w:rFonts w:cstheme="minorHAnsi"/>
        </w:rPr>
        <w:t xml:space="preserve">particular </w:t>
      </w:r>
      <w:r w:rsidR="0068626A" w:rsidRPr="008D04B1">
        <w:rPr>
          <w:rFonts w:cstheme="minorHAnsi"/>
        </w:rPr>
        <w:t>parts of</w:t>
      </w:r>
      <w:r w:rsidR="005F0AA5" w:rsidRPr="008D04B1">
        <w:rPr>
          <w:rFonts w:cstheme="minorHAnsi"/>
        </w:rPr>
        <w:t xml:space="preserve"> the country or</w:t>
      </w:r>
      <w:r w:rsidR="0068626A" w:rsidRPr="008D04B1">
        <w:rPr>
          <w:rFonts w:cstheme="minorHAnsi"/>
        </w:rPr>
        <w:t xml:space="preserve"> patient sub</w:t>
      </w:r>
      <w:r w:rsidR="005F0AA5" w:rsidRPr="008D04B1">
        <w:rPr>
          <w:rFonts w:cstheme="minorHAnsi"/>
        </w:rPr>
        <w:t>-</w:t>
      </w:r>
      <w:r w:rsidR="0068626A" w:rsidRPr="008D04B1">
        <w:rPr>
          <w:rFonts w:cstheme="minorHAnsi"/>
        </w:rPr>
        <w:t>groups</w:t>
      </w:r>
      <w:r w:rsidR="005F0AA5" w:rsidRPr="008D04B1">
        <w:rPr>
          <w:rFonts w:cstheme="minorHAnsi"/>
        </w:rPr>
        <w:t xml:space="preserve"> </w:t>
      </w:r>
      <w:r w:rsidR="00656996" w:rsidRPr="008D04B1">
        <w:rPr>
          <w:rFonts w:cstheme="minorHAnsi"/>
        </w:rPr>
        <w:t>being disadvantaged</w:t>
      </w:r>
      <w:r w:rsidR="005F0AA5" w:rsidRPr="008D04B1">
        <w:rPr>
          <w:rFonts w:cstheme="minorHAnsi"/>
        </w:rPr>
        <w:t>.</w:t>
      </w:r>
    </w:p>
    <w:p w14:paraId="32406232" w14:textId="77777777" w:rsidR="00212EB3" w:rsidRPr="008D04B1" w:rsidRDefault="00212EB3" w:rsidP="00DA5E4D">
      <w:pPr>
        <w:spacing w:line="360" w:lineRule="auto"/>
        <w:rPr>
          <w:rFonts w:cstheme="minorHAnsi"/>
          <w:lang w:val="en-GB"/>
        </w:rPr>
      </w:pPr>
    </w:p>
    <w:p w14:paraId="6B03F36D" w14:textId="77777777" w:rsidR="001A2433" w:rsidRPr="008D04B1" w:rsidRDefault="000640FE" w:rsidP="006F57E4">
      <w:pPr>
        <w:rPr>
          <w:rFonts w:cstheme="minorHAnsi"/>
          <w:b/>
          <w:lang w:val="en-GB"/>
        </w:rPr>
      </w:pPr>
      <w:r w:rsidRPr="008D04B1">
        <w:rPr>
          <w:rFonts w:cstheme="minorHAnsi"/>
          <w:b/>
          <w:lang w:val="en-GB"/>
        </w:rPr>
        <w:t>References</w:t>
      </w:r>
    </w:p>
    <w:p w14:paraId="119E7F95" w14:textId="77777777" w:rsidR="001A2433" w:rsidRPr="008D04B1" w:rsidRDefault="001A2433" w:rsidP="006F57E4">
      <w:pPr>
        <w:rPr>
          <w:rFonts w:cstheme="minorHAnsi"/>
          <w:lang w:val="en-GB"/>
        </w:rPr>
      </w:pPr>
    </w:p>
    <w:p w14:paraId="089128A9" w14:textId="77777777" w:rsidR="00EF6E4D" w:rsidRPr="00537CC3" w:rsidRDefault="00EF6E4D" w:rsidP="00537CC3">
      <w:pPr>
        <w:pStyle w:val="EndNoteBibliography"/>
        <w:rPr>
          <w:rFonts w:cstheme="minorHAnsi"/>
          <w:lang w:val="en-GB"/>
        </w:rPr>
      </w:pPr>
      <w:r w:rsidRPr="008D04B1">
        <w:rPr>
          <w:rFonts w:asciiTheme="minorHAnsi" w:hAnsiTheme="minorHAnsi" w:cstheme="minorHAnsi"/>
          <w:lang w:val="en-GB"/>
        </w:rPr>
        <w:fldChar w:fldCharType="begin"/>
      </w:r>
      <w:r w:rsidR="001A2433" w:rsidRPr="008D04B1">
        <w:rPr>
          <w:rFonts w:asciiTheme="minorHAnsi" w:hAnsiTheme="minorHAnsi" w:cstheme="minorHAnsi"/>
          <w:lang w:val="en-GB"/>
        </w:rPr>
        <w:instrText xml:space="preserve"> ADDIN EN.REFLIST </w:instrText>
      </w:r>
      <w:r w:rsidRPr="008D04B1">
        <w:rPr>
          <w:rFonts w:asciiTheme="minorHAnsi" w:hAnsiTheme="minorHAnsi" w:cstheme="minorHAnsi"/>
          <w:lang w:val="en-GB"/>
        </w:rPr>
        <w:fldChar w:fldCharType="separate"/>
      </w:r>
      <w:bookmarkStart w:id="1" w:name="_ENREF_1"/>
      <w:r w:rsidRPr="00537CC3">
        <w:rPr>
          <w:rFonts w:cstheme="minorHAnsi"/>
          <w:lang w:val="en-GB"/>
        </w:rPr>
        <w:t>1.</w:t>
      </w:r>
      <w:r w:rsidRPr="00537CC3">
        <w:rPr>
          <w:rFonts w:cstheme="minorHAnsi"/>
          <w:lang w:val="en-GB"/>
        </w:rPr>
        <w:tab/>
        <w:t xml:space="preserve">NHS Employers. Summary of 2014/15 GMS Contract negotiations.  London: NHS Employers; 2013 [updated 14 November 2013]; Available from: </w:t>
      </w:r>
      <w:hyperlink r:id="rId8" w:anchor="8" w:history="1">
        <w:r w:rsidRPr="00537CC3">
          <w:rPr>
            <w:rStyle w:val="Hyperlink"/>
          </w:rPr>
          <w:t>http://www.nhsemployers.org/PayAndContracts/GeneralMedicalServicesContract/GMSContractChanges/Pages/Contractchanges201415.aspx#8</w:t>
        </w:r>
      </w:hyperlink>
      <w:r w:rsidRPr="00537CC3">
        <w:rPr>
          <w:rFonts w:cstheme="minorHAnsi"/>
          <w:lang w:val="en-GB"/>
        </w:rPr>
        <w:t>.</w:t>
      </w:r>
    </w:p>
    <w:p w14:paraId="43D19158" w14:textId="77777777" w:rsidR="00EF6E4D" w:rsidRPr="00537CC3" w:rsidRDefault="00EF6E4D" w:rsidP="00537CC3">
      <w:pPr>
        <w:pStyle w:val="EndNoteBibliography"/>
        <w:rPr>
          <w:rFonts w:cstheme="minorHAnsi"/>
          <w:lang w:val="en-GB"/>
        </w:rPr>
      </w:pPr>
      <w:r w:rsidRPr="00537CC3">
        <w:rPr>
          <w:rFonts w:cstheme="minorHAnsi"/>
          <w:lang w:val="en-GB"/>
        </w:rPr>
        <w:t>2.</w:t>
      </w:r>
      <w:r w:rsidRPr="00537CC3">
        <w:rPr>
          <w:rFonts w:cstheme="minorHAnsi"/>
          <w:lang w:val="en-GB"/>
        </w:rPr>
        <w:tab/>
        <w:t>Bostock N. Practice boundary reforms delayed until January, NHS England reveals. GP Online. 2014.</w:t>
      </w:r>
    </w:p>
    <w:p w14:paraId="59C1AE6A" w14:textId="77777777" w:rsidR="00EF6E4D" w:rsidRPr="00537CC3" w:rsidRDefault="00EF6E4D" w:rsidP="00537CC3">
      <w:pPr>
        <w:pStyle w:val="EndNoteBibliography"/>
        <w:rPr>
          <w:rFonts w:cstheme="minorHAnsi"/>
          <w:lang w:val="en-GB"/>
        </w:rPr>
      </w:pPr>
      <w:r w:rsidRPr="00537CC3">
        <w:rPr>
          <w:rFonts w:cstheme="minorHAnsi"/>
          <w:lang w:val="en-GB"/>
        </w:rPr>
        <w:t>3.</w:t>
      </w:r>
      <w:r w:rsidRPr="00537CC3">
        <w:rPr>
          <w:rFonts w:cstheme="minorHAnsi"/>
          <w:lang w:val="en-GB"/>
        </w:rPr>
        <w:tab/>
        <w:t>Miani C, Pitchforth E, Nolte E. Choice of primary care provider: a review of experiences in three countries. 2013.</w:t>
      </w:r>
    </w:p>
    <w:p w14:paraId="764D035A" w14:textId="77777777" w:rsidR="00EF6E4D" w:rsidRPr="00537CC3" w:rsidRDefault="00EF6E4D" w:rsidP="00537CC3">
      <w:pPr>
        <w:pStyle w:val="EndNoteBibliography"/>
        <w:rPr>
          <w:rFonts w:cstheme="minorHAnsi"/>
          <w:lang w:val="en-GB"/>
        </w:rPr>
      </w:pPr>
      <w:r w:rsidRPr="00537CC3">
        <w:rPr>
          <w:rFonts w:cstheme="minorHAnsi"/>
          <w:lang w:val="en-GB"/>
        </w:rPr>
        <w:t>4.</w:t>
      </w:r>
      <w:r w:rsidRPr="00537CC3">
        <w:rPr>
          <w:rFonts w:cstheme="minorHAnsi"/>
          <w:lang w:val="en-GB"/>
        </w:rPr>
        <w:tab/>
        <w:t>Saltman RB, Figueras J. Analyzing the evidence on European health care reforms. Health affairs. 1998;17(2):85-108.</w:t>
      </w:r>
    </w:p>
    <w:p w14:paraId="038694A7" w14:textId="77777777" w:rsidR="00EF6E4D" w:rsidRPr="00537CC3" w:rsidRDefault="00EF6E4D" w:rsidP="00537CC3">
      <w:pPr>
        <w:pStyle w:val="EndNoteBibliography"/>
        <w:rPr>
          <w:rFonts w:cstheme="minorHAnsi"/>
          <w:lang w:val="en-GB"/>
        </w:rPr>
      </w:pPr>
      <w:r w:rsidRPr="00537CC3">
        <w:rPr>
          <w:rFonts w:cstheme="minorHAnsi"/>
          <w:lang w:val="en-GB"/>
        </w:rPr>
        <w:t>5.</w:t>
      </w:r>
      <w:r w:rsidRPr="00537CC3">
        <w:rPr>
          <w:rFonts w:cstheme="minorHAnsi"/>
          <w:lang w:val="en-GB"/>
        </w:rPr>
        <w:tab/>
        <w:t>Thomson S, Dixon A. Choices in health care: the European experience. Journal of Health Services Research &amp; Policy. 2006;11(3):167-71.</w:t>
      </w:r>
    </w:p>
    <w:p w14:paraId="5D016F02" w14:textId="77777777" w:rsidR="00EF6E4D" w:rsidRPr="00537CC3" w:rsidRDefault="00EF6E4D" w:rsidP="00537CC3">
      <w:pPr>
        <w:pStyle w:val="EndNoteBibliography"/>
        <w:rPr>
          <w:rFonts w:cstheme="minorHAnsi"/>
          <w:lang w:val="en-GB"/>
        </w:rPr>
      </w:pPr>
      <w:r w:rsidRPr="00537CC3">
        <w:rPr>
          <w:rFonts w:cstheme="minorHAnsi"/>
          <w:lang w:val="en-GB"/>
        </w:rPr>
        <w:t>6.</w:t>
      </w:r>
      <w:r w:rsidRPr="00537CC3">
        <w:rPr>
          <w:rFonts w:cstheme="minorHAnsi"/>
          <w:lang w:val="en-GB"/>
        </w:rPr>
        <w:tab/>
        <w:t>Coulter A, Jenkinson C. European patients' views on the responsiveness of health systems and healthcare providers. The European Journal of Public Health. 2005;15(4):355-60.</w:t>
      </w:r>
    </w:p>
    <w:p w14:paraId="1B0C7D3D" w14:textId="77777777" w:rsidR="00EF6E4D" w:rsidRPr="00537CC3" w:rsidRDefault="00EF6E4D" w:rsidP="00537CC3">
      <w:pPr>
        <w:pStyle w:val="EndNoteBibliography"/>
        <w:rPr>
          <w:rFonts w:cstheme="minorHAnsi"/>
          <w:lang w:val="en-GB"/>
        </w:rPr>
      </w:pPr>
      <w:r w:rsidRPr="00537CC3">
        <w:rPr>
          <w:rFonts w:cstheme="minorHAnsi"/>
          <w:lang w:val="en-GB"/>
        </w:rPr>
        <w:t>7.</w:t>
      </w:r>
      <w:r w:rsidRPr="00537CC3">
        <w:rPr>
          <w:rFonts w:cstheme="minorHAnsi"/>
          <w:lang w:val="en-GB"/>
        </w:rPr>
        <w:tab/>
        <w:t>Department of Health. Choice of GP Practice: the patient choice scheme.  2012; Available from: https://</w:t>
      </w:r>
      <w:hyperlink r:id="rId9" w:history="1">
        <w:r w:rsidRPr="00537CC3">
          <w:rPr>
            <w:rStyle w:val="Hyperlink"/>
          </w:rPr>
          <w:t>www.gov.uk/government/uploads/system/uploads/attachment_data/file/152294/dh_133411.pdf.pdf</w:t>
        </w:r>
      </w:hyperlink>
      <w:r w:rsidRPr="00537CC3">
        <w:rPr>
          <w:rFonts w:cstheme="minorHAnsi"/>
          <w:lang w:val="en-GB"/>
        </w:rPr>
        <w:t>.</w:t>
      </w:r>
    </w:p>
    <w:p w14:paraId="492D5B03" w14:textId="77777777" w:rsidR="00EF6E4D" w:rsidRPr="00537CC3" w:rsidRDefault="00EF6E4D" w:rsidP="00537CC3">
      <w:pPr>
        <w:pStyle w:val="EndNoteBibliography"/>
        <w:rPr>
          <w:rFonts w:cstheme="minorHAnsi"/>
          <w:lang w:val="en-GB"/>
        </w:rPr>
      </w:pPr>
      <w:r w:rsidRPr="00537CC3">
        <w:rPr>
          <w:rFonts w:cstheme="minorHAnsi"/>
          <w:lang w:val="en-GB"/>
        </w:rPr>
        <w:t>8.</w:t>
      </w:r>
      <w:r w:rsidRPr="00537CC3">
        <w:rPr>
          <w:rFonts w:cstheme="minorHAnsi"/>
          <w:lang w:val="en-GB"/>
        </w:rPr>
        <w:tab/>
        <w:t>Tan S, Mays N. Impact of initiatives to improve access to, and choice of, primary and urgent care in the England: A systematic review. Health Policy. 2014(0).</w:t>
      </w:r>
    </w:p>
    <w:p w14:paraId="6C09515D" w14:textId="77777777" w:rsidR="00EF6E4D" w:rsidRPr="00537CC3" w:rsidRDefault="00EF6E4D" w:rsidP="00537CC3">
      <w:pPr>
        <w:pStyle w:val="EndNoteBibliography"/>
        <w:rPr>
          <w:rFonts w:cstheme="minorHAnsi"/>
          <w:lang w:val="en-GB"/>
        </w:rPr>
      </w:pPr>
      <w:r w:rsidRPr="00537CC3">
        <w:rPr>
          <w:rFonts w:cstheme="minorHAnsi"/>
          <w:lang w:val="en-GB"/>
        </w:rPr>
        <w:t>9.</w:t>
      </w:r>
      <w:r w:rsidRPr="00537CC3">
        <w:rPr>
          <w:rFonts w:cstheme="minorHAnsi"/>
          <w:lang w:val="en-GB"/>
        </w:rPr>
        <w:tab/>
        <w:t xml:space="preserve">Mays N, Eastmure E, Erens B, Lagarde M, Roland M, Tan S, et al. Evaluation of the choice of GP practice pilot, 2012-13: final report. London School of Hygiene and Tropical Medicine; 2014; Available from: </w:t>
      </w:r>
      <w:hyperlink r:id="rId10" w:history="1">
        <w:r w:rsidRPr="00537CC3">
          <w:rPr>
            <w:rStyle w:val="Hyperlink"/>
          </w:rPr>
          <w:t>www.piru.ac.uk/assets/files/General%20Practice%20Choice%20Pilot%20Evaluation.pdf</w:t>
        </w:r>
      </w:hyperlink>
      <w:r w:rsidRPr="00537CC3">
        <w:rPr>
          <w:rFonts w:cstheme="minorHAnsi"/>
          <w:lang w:val="en-GB"/>
        </w:rPr>
        <w:t>.</w:t>
      </w:r>
    </w:p>
    <w:p w14:paraId="3C833D5E" w14:textId="1731DAF6" w:rsidR="00EF6E4D" w:rsidRPr="00537CC3" w:rsidRDefault="00EF6E4D" w:rsidP="00537CC3">
      <w:pPr>
        <w:pStyle w:val="EndNoteBibliography"/>
        <w:rPr>
          <w:rFonts w:cstheme="minorHAnsi"/>
          <w:lang w:val="en-GB"/>
        </w:rPr>
      </w:pPr>
      <w:r w:rsidRPr="00537CC3">
        <w:rPr>
          <w:rFonts w:cstheme="minorHAnsi"/>
          <w:lang w:val="en-GB"/>
        </w:rPr>
        <w:t>10.</w:t>
      </w:r>
      <w:r w:rsidRPr="00537CC3">
        <w:rPr>
          <w:rFonts w:cstheme="minorHAnsi"/>
          <w:lang w:val="en-GB"/>
        </w:rPr>
        <w:tab/>
        <w:t>Lagarde M, Erens B, Mays N.</w:t>
      </w:r>
      <w:r w:rsidR="00A46355">
        <w:rPr>
          <w:rFonts w:cstheme="minorHAnsi"/>
          <w:lang w:val="en-GB"/>
        </w:rPr>
        <w:t>.</w:t>
      </w:r>
      <w:r w:rsidR="00891713">
        <w:rPr>
          <w:rFonts w:cstheme="minorHAnsi"/>
          <w:lang w:val="en-GB"/>
        </w:rPr>
        <w:t xml:space="preserve"> </w:t>
      </w:r>
      <w:r w:rsidRPr="00537CC3">
        <w:rPr>
          <w:rFonts w:cstheme="minorHAnsi"/>
          <w:lang w:val="en-GB"/>
        </w:rPr>
        <w:t xml:space="preserve">Preferences for GP practice in England: evidence from a Discrete Choice Experiment. </w:t>
      </w:r>
      <w:r w:rsidR="00891713">
        <w:rPr>
          <w:rFonts w:cstheme="minorHAnsi"/>
          <w:lang w:val="en-GB"/>
        </w:rPr>
        <w:t>Health Policy, forthcoming</w:t>
      </w:r>
      <w:r w:rsidR="00A46355">
        <w:rPr>
          <w:rFonts w:cstheme="minorHAnsi"/>
          <w:lang w:val="en-GB"/>
        </w:rPr>
        <w:t xml:space="preserve"> 2014</w:t>
      </w:r>
      <w:r w:rsidRPr="00537CC3">
        <w:rPr>
          <w:rFonts w:cstheme="minorHAnsi"/>
          <w:lang w:val="en-GB"/>
        </w:rPr>
        <w:t>.</w:t>
      </w:r>
    </w:p>
    <w:p w14:paraId="11D61E3C" w14:textId="77777777" w:rsidR="00EF6E4D" w:rsidRPr="00537CC3" w:rsidRDefault="00EF6E4D" w:rsidP="00537CC3">
      <w:pPr>
        <w:pStyle w:val="EndNoteBibliography"/>
        <w:rPr>
          <w:rFonts w:cstheme="minorHAnsi"/>
          <w:lang w:val="en-GB"/>
        </w:rPr>
      </w:pPr>
      <w:r w:rsidRPr="00537CC3">
        <w:rPr>
          <w:rFonts w:cstheme="minorHAnsi"/>
          <w:lang w:val="en-GB"/>
        </w:rPr>
        <w:t>11.</w:t>
      </w:r>
      <w:r w:rsidRPr="00537CC3">
        <w:rPr>
          <w:rFonts w:cstheme="minorHAnsi"/>
          <w:lang w:val="en-GB"/>
        </w:rPr>
        <w:tab/>
        <w:t>Kontopantelis E, Roland M, Reeves D. Patient experience of access to primary care: identification of predictors in a national patient survey. BMC family practice. 2010;11(1):61.</w:t>
      </w:r>
    </w:p>
    <w:p w14:paraId="5E52AA87" w14:textId="77777777" w:rsidR="00EF6E4D" w:rsidRPr="00537CC3" w:rsidRDefault="00EF6E4D" w:rsidP="00537CC3">
      <w:pPr>
        <w:pStyle w:val="EndNoteBibliography"/>
        <w:rPr>
          <w:rFonts w:cstheme="minorHAnsi"/>
          <w:lang w:val="en-GB"/>
        </w:rPr>
      </w:pPr>
      <w:r w:rsidRPr="00537CC3">
        <w:rPr>
          <w:rFonts w:cstheme="minorHAnsi"/>
          <w:lang w:val="en-GB"/>
        </w:rPr>
        <w:lastRenderedPageBreak/>
        <w:t>12.</w:t>
      </w:r>
      <w:r w:rsidRPr="00537CC3">
        <w:rPr>
          <w:rFonts w:cstheme="minorHAnsi"/>
          <w:lang w:val="en-GB"/>
        </w:rPr>
        <w:tab/>
        <w:t xml:space="preserve">Pulse. LMCs stage boycott of practice boundary pilots.  2012 [updated 20 April 2012]; Available from: </w:t>
      </w:r>
      <w:hyperlink r:id="rId11" w:anchor=".U5hcO1OIB8G" w:history="1">
        <w:r w:rsidRPr="00537CC3">
          <w:rPr>
            <w:rStyle w:val="Hyperlink"/>
          </w:rPr>
          <w:t>http://www.pulsetoday.co.uk/lmcs-stage-boycott-of-practice-boundary-pilots/13805188.article#.U5hcO1OIB8G</w:t>
        </w:r>
      </w:hyperlink>
      <w:r w:rsidRPr="00537CC3">
        <w:rPr>
          <w:rFonts w:cstheme="minorHAnsi"/>
          <w:lang w:val="en-GB"/>
        </w:rPr>
        <w:t>.</w:t>
      </w:r>
    </w:p>
    <w:p w14:paraId="2464E8DE" w14:textId="77777777" w:rsidR="00EF6E4D" w:rsidRPr="00537CC3" w:rsidRDefault="00EF6E4D" w:rsidP="00537CC3">
      <w:pPr>
        <w:pStyle w:val="EndNoteBibliography"/>
        <w:rPr>
          <w:rFonts w:cstheme="minorHAnsi"/>
          <w:lang w:val="en-GB"/>
        </w:rPr>
      </w:pPr>
      <w:r w:rsidRPr="00537CC3">
        <w:rPr>
          <w:rFonts w:cstheme="minorHAnsi"/>
          <w:lang w:val="en-GB"/>
        </w:rPr>
        <w:t>13.</w:t>
      </w:r>
      <w:r w:rsidRPr="00537CC3">
        <w:rPr>
          <w:rFonts w:cstheme="minorHAnsi"/>
          <w:lang w:val="en-GB"/>
        </w:rPr>
        <w:tab/>
        <w:t xml:space="preserve">Farrelly G. Your choice of GP: the problem in a nutshell.  2014; Available from: </w:t>
      </w:r>
      <w:hyperlink r:id="rId12" w:history="1">
        <w:r w:rsidRPr="00537CC3">
          <w:rPr>
            <w:rStyle w:val="Hyperlink"/>
          </w:rPr>
          <w:t>http://onegpprotest.org/registering-with-the-gp-of-your-choice/</w:t>
        </w:r>
      </w:hyperlink>
      <w:r w:rsidRPr="00537CC3">
        <w:rPr>
          <w:rFonts w:cstheme="minorHAnsi"/>
          <w:lang w:val="en-GB"/>
        </w:rPr>
        <w:t>.</w:t>
      </w:r>
    </w:p>
    <w:p w14:paraId="4E464EBC" w14:textId="77777777" w:rsidR="00EF6E4D" w:rsidRPr="00537CC3" w:rsidRDefault="00EF6E4D" w:rsidP="00537CC3">
      <w:pPr>
        <w:pStyle w:val="EndNoteBibliography"/>
        <w:rPr>
          <w:rFonts w:cstheme="minorHAnsi"/>
          <w:lang w:val="en-GB"/>
        </w:rPr>
      </w:pPr>
      <w:r w:rsidRPr="00537CC3">
        <w:rPr>
          <w:rFonts w:cstheme="minorHAnsi"/>
          <w:lang w:val="en-GB"/>
        </w:rPr>
        <w:t>14.</w:t>
      </w:r>
      <w:r w:rsidRPr="00537CC3">
        <w:rPr>
          <w:rFonts w:cstheme="minorHAnsi"/>
          <w:lang w:val="en-GB"/>
        </w:rPr>
        <w:tab/>
        <w:t xml:space="preserve">Kaffash J. Gerada: Removal of practice boundaries will break link between GPs and their communities.  2013 [updated 4 December 2013]; Available from: </w:t>
      </w:r>
      <w:hyperlink r:id="rId13" w:anchor=".U5hgfVOICSo" w:history="1">
        <w:r w:rsidRPr="00537CC3">
          <w:rPr>
            <w:rStyle w:val="Hyperlink"/>
          </w:rPr>
          <w:t>http://www.pulsetoday.co.uk/home/gp-contract-2014/15/gerada-removal-of-practice-boundaries-will-break-link-between-gps-and-their-communities/20005257.article#.U5hgfVOICSo</w:t>
        </w:r>
      </w:hyperlink>
      <w:r w:rsidRPr="00537CC3">
        <w:rPr>
          <w:rFonts w:cstheme="minorHAnsi"/>
          <w:lang w:val="en-GB"/>
        </w:rPr>
        <w:t>.</w:t>
      </w:r>
    </w:p>
    <w:p w14:paraId="7A476413" w14:textId="77777777" w:rsidR="00EF6E4D" w:rsidRPr="00537CC3" w:rsidRDefault="00EF6E4D" w:rsidP="00537CC3">
      <w:pPr>
        <w:pStyle w:val="EndNoteBibliography"/>
        <w:rPr>
          <w:rFonts w:cstheme="minorHAnsi"/>
          <w:lang w:val="en-GB"/>
        </w:rPr>
      </w:pPr>
      <w:r w:rsidRPr="00537CC3">
        <w:rPr>
          <w:rFonts w:cstheme="minorHAnsi"/>
          <w:lang w:val="en-GB"/>
        </w:rPr>
        <w:t>15.</w:t>
      </w:r>
      <w:r w:rsidRPr="00537CC3">
        <w:rPr>
          <w:rFonts w:cstheme="minorHAnsi"/>
          <w:lang w:val="en-GB"/>
        </w:rPr>
        <w:tab/>
        <w:t>Pyper C, Mayhew L, Pyper R, Pyper T. The public health and primary healthcare needs of city workers. London: City of London; 2012.</w:t>
      </w:r>
    </w:p>
    <w:p w14:paraId="1FD72EAE" w14:textId="77777777" w:rsidR="00EF6E4D" w:rsidRPr="00537CC3" w:rsidRDefault="00EF6E4D" w:rsidP="00537CC3">
      <w:pPr>
        <w:pStyle w:val="EndNoteBibliography"/>
        <w:rPr>
          <w:rFonts w:cstheme="minorHAnsi"/>
          <w:lang w:val="en-GB"/>
        </w:rPr>
      </w:pPr>
      <w:r w:rsidRPr="00537CC3">
        <w:rPr>
          <w:rFonts w:cstheme="minorHAnsi"/>
          <w:lang w:val="en-GB"/>
        </w:rPr>
        <w:t>16.</w:t>
      </w:r>
      <w:r w:rsidRPr="00537CC3">
        <w:rPr>
          <w:rFonts w:cstheme="minorHAnsi"/>
          <w:lang w:val="en-GB"/>
        </w:rPr>
        <w:tab/>
        <w:t xml:space="preserve">British Medical Association. Funding changes will close practices, warn doctors leaders. British Medical Association; 2014 [updated 22 May 2014]; Available from: </w:t>
      </w:r>
      <w:hyperlink r:id="rId14" w:history="1">
        <w:r w:rsidRPr="00537CC3">
          <w:rPr>
            <w:rStyle w:val="Hyperlink"/>
          </w:rPr>
          <w:t>http://bma.org.uk/news-views-analysis/news/2014/may/funding-changes-will-close-practices-warn-doctors-leaders</w:t>
        </w:r>
      </w:hyperlink>
      <w:r w:rsidRPr="00537CC3">
        <w:rPr>
          <w:rFonts w:cstheme="minorHAnsi"/>
          <w:lang w:val="en-GB"/>
        </w:rPr>
        <w:t>.</w:t>
      </w:r>
    </w:p>
    <w:p w14:paraId="1D2693C4" w14:textId="77777777" w:rsidR="00EF6E4D" w:rsidRPr="00537CC3" w:rsidRDefault="00EF6E4D" w:rsidP="00537CC3">
      <w:pPr>
        <w:pStyle w:val="EndNoteBibliography"/>
        <w:rPr>
          <w:rFonts w:cstheme="minorHAnsi"/>
          <w:lang w:val="en-GB"/>
        </w:rPr>
      </w:pPr>
      <w:r w:rsidRPr="00537CC3">
        <w:rPr>
          <w:rFonts w:cstheme="minorHAnsi"/>
          <w:lang w:val="en-GB"/>
        </w:rPr>
        <w:t>17.</w:t>
      </w:r>
      <w:r w:rsidRPr="00537CC3">
        <w:rPr>
          <w:rFonts w:cstheme="minorHAnsi"/>
          <w:lang w:val="en-GB"/>
        </w:rPr>
        <w:tab/>
        <w:t xml:space="preserve">Dreaper J. Choice of GP practice 'popular with commuters'. BBC; 2014; Available from: </w:t>
      </w:r>
      <w:hyperlink r:id="rId15" w:history="1">
        <w:r w:rsidRPr="00537CC3">
          <w:rPr>
            <w:rStyle w:val="Hyperlink"/>
          </w:rPr>
          <w:t>http://www.bbc.co.uk/news/health-26654617</w:t>
        </w:r>
      </w:hyperlink>
      <w:r w:rsidRPr="00537CC3">
        <w:rPr>
          <w:rFonts w:cstheme="minorHAnsi"/>
          <w:lang w:val="en-GB"/>
        </w:rPr>
        <w:t>.</w:t>
      </w:r>
    </w:p>
    <w:p w14:paraId="6BFF95C6" w14:textId="77777777" w:rsidR="00EF6E4D" w:rsidRPr="00537CC3" w:rsidRDefault="00EF6E4D" w:rsidP="00537CC3">
      <w:pPr>
        <w:pStyle w:val="EndNoteBibliography"/>
        <w:rPr>
          <w:rFonts w:cstheme="minorHAnsi"/>
          <w:lang w:val="en-GB"/>
        </w:rPr>
      </w:pPr>
      <w:r w:rsidRPr="00537CC3">
        <w:rPr>
          <w:rFonts w:cstheme="minorHAnsi"/>
          <w:lang w:val="en-GB"/>
        </w:rPr>
        <w:t>18.</w:t>
      </w:r>
      <w:r w:rsidRPr="00537CC3">
        <w:rPr>
          <w:rFonts w:cstheme="minorHAnsi"/>
          <w:lang w:val="en-GB"/>
        </w:rPr>
        <w:tab/>
        <w:t>Wintour P. GP access seven days a week by 2020 ‘guaranteed’ under Tories – Cameron. Guardian. 2014.</w:t>
      </w:r>
    </w:p>
    <w:p w14:paraId="4721C963" w14:textId="77777777" w:rsidR="00EF6E4D" w:rsidRPr="00537CC3" w:rsidRDefault="00EF6E4D" w:rsidP="00537CC3">
      <w:pPr>
        <w:pStyle w:val="EndNoteBibliography"/>
        <w:rPr>
          <w:rFonts w:cstheme="minorHAnsi"/>
          <w:lang w:val="en-GB"/>
        </w:rPr>
      </w:pPr>
      <w:r w:rsidRPr="00537CC3">
        <w:rPr>
          <w:rFonts w:cstheme="minorHAnsi"/>
          <w:lang w:val="en-GB"/>
        </w:rPr>
        <w:t>19.</w:t>
      </w:r>
      <w:r w:rsidRPr="00537CC3">
        <w:rPr>
          <w:rFonts w:cstheme="minorHAnsi"/>
          <w:lang w:val="en-GB"/>
        </w:rPr>
        <w:tab/>
        <w:t>Arain M, Campbell M, Nicholl J. Impact of a GP-led walk-in centre on NHS emergency departments. Emergency Medicine Journal. 2014:emermed-2013-202410.</w:t>
      </w:r>
    </w:p>
    <w:p w14:paraId="7637A990" w14:textId="77777777" w:rsidR="00EF6E4D" w:rsidRDefault="00EF6E4D" w:rsidP="00537CC3">
      <w:pPr>
        <w:pStyle w:val="EndNoteBibliography"/>
        <w:ind w:left="720" w:hanging="720"/>
        <w:rPr>
          <w:rFonts w:cstheme="minorHAnsi"/>
          <w:lang w:val="en-GB"/>
        </w:rPr>
      </w:pPr>
    </w:p>
    <w:bookmarkEnd w:id="1"/>
    <w:p w14:paraId="34C76690" w14:textId="77777777" w:rsidR="00A10A41" w:rsidRDefault="00EF6E4D" w:rsidP="006F57E4">
      <w:pPr>
        <w:rPr>
          <w:rFonts w:ascii="Times New Roman" w:hAnsi="Times New Roman" w:cs="Times New Roman"/>
          <w:lang w:val="en-GB"/>
        </w:rPr>
      </w:pPr>
      <w:r w:rsidRPr="008D04B1">
        <w:rPr>
          <w:rFonts w:cstheme="minorHAnsi"/>
          <w:lang w:val="en-GB"/>
        </w:rPr>
        <w:fldChar w:fldCharType="end"/>
      </w:r>
    </w:p>
    <w:p w14:paraId="60B669A4" w14:textId="77777777" w:rsidR="00502A60" w:rsidRDefault="00502A60">
      <w:pPr>
        <w:spacing w:after="200" w:line="276" w:lineRule="auto"/>
        <w:rPr>
          <w:rFonts w:ascii="Times New Roman" w:hAnsi="Times New Roman" w:cs="Times New Roman"/>
          <w:lang w:val="en-GB"/>
        </w:rPr>
      </w:pPr>
    </w:p>
    <w:tbl>
      <w:tblPr>
        <w:tblStyle w:val="TableGrid"/>
        <w:tblpPr w:leftFromText="180" w:rightFromText="180" w:vertAnchor="text" w:horzAnchor="margin" w:tblpY="-271"/>
        <w:tblW w:w="0" w:type="auto"/>
        <w:tblLook w:val="04A0" w:firstRow="1" w:lastRow="0" w:firstColumn="1" w:lastColumn="0" w:noHBand="0" w:noVBand="1"/>
      </w:tblPr>
      <w:tblGrid>
        <w:gridCol w:w="8516"/>
      </w:tblGrid>
      <w:tr w:rsidR="00502A60" w:rsidRPr="006C77F0" w14:paraId="211DE042" w14:textId="77777777" w:rsidTr="00537CC3">
        <w:trPr>
          <w:trHeight w:val="2400"/>
        </w:trPr>
        <w:tc>
          <w:tcPr>
            <w:tcW w:w="8516" w:type="dxa"/>
          </w:tcPr>
          <w:p w14:paraId="50FFB5C8" w14:textId="77777777" w:rsidR="00EF6E4D" w:rsidRDefault="00735D78" w:rsidP="00537CC3">
            <w:pPr>
              <w:rPr>
                <w:rFonts w:cstheme="minorHAnsi"/>
                <w:sz w:val="22"/>
                <w:szCs w:val="22"/>
              </w:rPr>
            </w:pPr>
            <w:r w:rsidRPr="00735D78">
              <w:rPr>
                <w:rFonts w:cstheme="minorHAnsi"/>
              </w:rPr>
              <w:t>Highlights</w:t>
            </w:r>
          </w:p>
          <w:p w14:paraId="443FBE47" w14:textId="25AFDF18" w:rsidR="00EF6E4D" w:rsidRDefault="00502A60" w:rsidP="00537CC3">
            <w:pPr>
              <w:pStyle w:val="ListParagraph"/>
              <w:numPr>
                <w:ilvl w:val="0"/>
                <w:numId w:val="15"/>
              </w:numPr>
              <w:rPr>
                <w:rFonts w:asciiTheme="majorHAnsi" w:hAnsiTheme="majorHAnsi" w:cstheme="majorBidi"/>
                <w:i/>
                <w:iCs/>
                <w:noProof/>
                <w:color w:val="243F60" w:themeColor="accent1" w:themeShade="7F"/>
              </w:rPr>
            </w:pPr>
            <w:r w:rsidRPr="00735D78">
              <w:t xml:space="preserve">From </w:t>
            </w:r>
            <w:r w:rsidR="00266A2B">
              <w:t>2015</w:t>
            </w:r>
            <w:r w:rsidRPr="00735D78">
              <w:t>,</w:t>
            </w:r>
            <w:r w:rsidR="00266A2B">
              <w:t xml:space="preserve"> it is planned that</w:t>
            </w:r>
            <w:r w:rsidRPr="00735D78">
              <w:t xml:space="preserve"> general practices in England will be able to offer registration to NHS patients who live outside practices’ current catchments</w:t>
            </w:r>
          </w:p>
          <w:p w14:paraId="5C738F78" w14:textId="77777777" w:rsidR="00502A60" w:rsidRPr="00A8244B" w:rsidRDefault="00502A60" w:rsidP="00502A60">
            <w:pPr>
              <w:pStyle w:val="ListParagraph"/>
              <w:numPr>
                <w:ilvl w:val="0"/>
                <w:numId w:val="5"/>
              </w:numPr>
              <w:rPr>
                <w:rFonts w:cstheme="minorHAnsi"/>
              </w:rPr>
            </w:pPr>
            <w:r>
              <w:rPr>
                <w:rFonts w:cstheme="minorHAnsi"/>
              </w:rPr>
              <w:t xml:space="preserve">Evaluation of a 12-month pilot of out-of-area (OoA) registration in four areas showed that patients reported better experience than similar patients in the national General Practice Patient Survey, but </w:t>
            </w:r>
            <w:r w:rsidRPr="00C309AA">
              <w:rPr>
                <w:rFonts w:cs="HelveticaNeue-Light"/>
                <w:color w:val="000000"/>
              </w:rPr>
              <w:t>it</w:t>
            </w:r>
            <w:r>
              <w:rPr>
                <w:rFonts w:cs="HelveticaNeue-Light"/>
                <w:color w:val="000000"/>
              </w:rPr>
              <w:t xml:space="preserve"> was</w:t>
            </w:r>
            <w:r w:rsidRPr="00C309AA">
              <w:rPr>
                <w:rFonts w:cs="HelveticaNeue-Light"/>
                <w:color w:val="000000"/>
              </w:rPr>
              <w:t xml:space="preserve"> not possible to</w:t>
            </w:r>
            <w:r>
              <w:rPr>
                <w:rFonts w:cs="HelveticaNeue-Light"/>
                <w:color w:val="000000"/>
              </w:rPr>
              <w:t xml:space="preserve"> estimate the </w:t>
            </w:r>
            <w:r w:rsidRPr="00C309AA">
              <w:rPr>
                <w:rFonts w:cs="HelveticaNeue-Light"/>
                <w:color w:val="000000"/>
              </w:rPr>
              <w:t>benefits and</w:t>
            </w:r>
            <w:r>
              <w:rPr>
                <w:rFonts w:cs="HelveticaNeue-Light"/>
                <w:color w:val="000000"/>
              </w:rPr>
              <w:t xml:space="preserve"> </w:t>
            </w:r>
            <w:r w:rsidRPr="00C309AA">
              <w:rPr>
                <w:rFonts w:cs="HelveticaNeue-Light"/>
                <w:color w:val="000000"/>
              </w:rPr>
              <w:t>costs</w:t>
            </w:r>
            <w:r>
              <w:rPr>
                <w:rFonts w:cs="HelveticaNeue-Light"/>
                <w:color w:val="000000"/>
              </w:rPr>
              <w:t xml:space="preserve"> were the pilot to be </w:t>
            </w:r>
            <w:r w:rsidRPr="00C309AA">
              <w:rPr>
                <w:rFonts w:cs="HelveticaNeue-Light"/>
                <w:color w:val="000000"/>
              </w:rPr>
              <w:t>extended nationally</w:t>
            </w:r>
            <w:r>
              <w:rPr>
                <w:rFonts w:cs="HelveticaNeue-Light"/>
                <w:color w:val="000000"/>
              </w:rPr>
              <w:t xml:space="preserve"> in the longer</w:t>
            </w:r>
            <w:r w:rsidRPr="00C309AA">
              <w:rPr>
                <w:rFonts w:cs="HelveticaNeue-Light"/>
                <w:color w:val="000000"/>
              </w:rPr>
              <w:t xml:space="preserve"> term</w:t>
            </w:r>
          </w:p>
          <w:p w14:paraId="5853DB17" w14:textId="77777777" w:rsidR="00502A60" w:rsidRPr="00C53F11" w:rsidRDefault="00502A60" w:rsidP="00502A60">
            <w:pPr>
              <w:pStyle w:val="ListParagraph"/>
              <w:numPr>
                <w:ilvl w:val="0"/>
                <w:numId w:val="5"/>
              </w:numPr>
              <w:rPr>
                <w:rFonts w:cstheme="minorHAnsi"/>
              </w:rPr>
            </w:pPr>
            <w:r>
              <w:rPr>
                <w:rFonts w:cs="HelveticaNeue-Light"/>
                <w:color w:val="000000"/>
              </w:rPr>
              <w:t>OoA registration has the potential to improve access to primary medical care and patient experience in a sub-group of the population (typically young working age people with good self-reported health)</w:t>
            </w:r>
          </w:p>
          <w:p w14:paraId="2408DBCC" w14:textId="77777777" w:rsidR="00502A60" w:rsidRPr="00C53F11" w:rsidRDefault="00502A60" w:rsidP="00502A60">
            <w:pPr>
              <w:pStyle w:val="ListParagraph"/>
              <w:numPr>
                <w:ilvl w:val="0"/>
                <w:numId w:val="5"/>
              </w:numPr>
              <w:rPr>
                <w:rFonts w:cstheme="minorHAnsi"/>
              </w:rPr>
            </w:pPr>
            <w:r>
              <w:rPr>
                <w:rFonts w:cstheme="minorHAnsi"/>
              </w:rPr>
              <w:t>There are a number of potential drawbacks, such as how to manage capacity and quality in ‘gaining’ practices, impact on the viability of ‘losing’ practices and their remaining patients, paying for and providing urgent care where patients live, etc.</w:t>
            </w:r>
          </w:p>
          <w:p w14:paraId="02E4DDCE" w14:textId="77777777" w:rsidR="00502A60" w:rsidRDefault="00502A60" w:rsidP="00502A60">
            <w:pPr>
              <w:pStyle w:val="ListParagraph"/>
              <w:numPr>
                <w:ilvl w:val="0"/>
                <w:numId w:val="5"/>
              </w:numPr>
              <w:rPr>
                <w:rFonts w:cstheme="minorHAnsi"/>
              </w:rPr>
            </w:pPr>
            <w:r>
              <w:rPr>
                <w:rFonts w:cs="HelveticaNeue-Light"/>
                <w:color w:val="000000"/>
              </w:rPr>
              <w:t>There may be other simpler, more cost-effective ways of improving access such as extending opening hours and providing alternatives to face-to-face consultation</w:t>
            </w:r>
          </w:p>
        </w:tc>
      </w:tr>
    </w:tbl>
    <w:p w14:paraId="12311534" w14:textId="77777777" w:rsidR="00502A60" w:rsidRDefault="00502A60" w:rsidP="00502A60">
      <w:pPr>
        <w:rPr>
          <w:b/>
        </w:rPr>
      </w:pPr>
    </w:p>
    <w:p w14:paraId="0007327A" w14:textId="77777777" w:rsidR="00692AD2" w:rsidRDefault="00692AD2" w:rsidP="00502A60">
      <w:pPr>
        <w:rPr>
          <w:b/>
        </w:rPr>
      </w:pPr>
    </w:p>
    <w:tbl>
      <w:tblPr>
        <w:tblStyle w:val="TableGrid"/>
        <w:tblW w:w="0" w:type="auto"/>
        <w:tblLook w:val="04A0" w:firstRow="1" w:lastRow="0" w:firstColumn="1" w:lastColumn="0" w:noHBand="0" w:noVBand="1"/>
      </w:tblPr>
      <w:tblGrid>
        <w:gridCol w:w="8516"/>
      </w:tblGrid>
      <w:tr w:rsidR="00692AD2" w14:paraId="7BE745F5" w14:textId="77777777" w:rsidTr="00692AD2">
        <w:tc>
          <w:tcPr>
            <w:tcW w:w="8516" w:type="dxa"/>
          </w:tcPr>
          <w:p w14:paraId="2F2829D8" w14:textId="77777777" w:rsidR="00692AD2" w:rsidRDefault="00692AD2" w:rsidP="00502A60">
            <w:pPr>
              <w:rPr>
                <w:b/>
              </w:rPr>
            </w:pPr>
            <w:r>
              <w:rPr>
                <w:b/>
              </w:rPr>
              <w:t>Box 1.  The Choice of GP</w:t>
            </w:r>
            <w:r w:rsidR="00266A2B">
              <w:rPr>
                <w:b/>
              </w:rPr>
              <w:t xml:space="preserve"> Practice</w:t>
            </w:r>
            <w:r>
              <w:rPr>
                <w:b/>
              </w:rPr>
              <w:t xml:space="preserve"> Pilot</w:t>
            </w:r>
            <w:r w:rsidR="00266A2B">
              <w:rPr>
                <w:b/>
              </w:rPr>
              <w:t xml:space="preserve"> and its</w:t>
            </w:r>
            <w:r>
              <w:rPr>
                <w:b/>
              </w:rPr>
              <w:t xml:space="preserve"> evaluation</w:t>
            </w:r>
          </w:p>
          <w:p w14:paraId="32DA0DCD" w14:textId="77777777" w:rsidR="00B16B1C" w:rsidRDefault="00B16B1C" w:rsidP="00502A60">
            <w:pPr>
              <w:rPr>
                <w:b/>
              </w:rPr>
            </w:pPr>
          </w:p>
          <w:p w14:paraId="725039C7" w14:textId="43E292A6" w:rsidR="00EF6E4D" w:rsidRPr="00E6008C" w:rsidRDefault="0011340B" w:rsidP="00537CC3">
            <w:pPr>
              <w:rPr>
                <w:sz w:val="22"/>
                <w:szCs w:val="22"/>
              </w:rPr>
            </w:pPr>
            <w:r w:rsidRPr="00E6008C">
              <w:t>From April 2012</w:t>
            </w:r>
            <w:r w:rsidR="008D46FB" w:rsidRPr="00E6008C">
              <w:t>-March 2013</w:t>
            </w:r>
            <w:r w:rsidR="000F6E5C" w:rsidRPr="00E6008C">
              <w:t>, 43 volunteer general practices in four English NHS primary care trusts</w:t>
            </w:r>
            <w:r w:rsidR="009314C0" w:rsidRPr="00E6008C">
              <w:t xml:space="preserve"> (PCTs)</w:t>
            </w:r>
            <w:r w:rsidR="000F6E5C" w:rsidRPr="00E6008C">
              <w:t xml:space="preserve"> (Westminster, Nottingham, Manchester and Salford) took part in a pilot to test </w:t>
            </w:r>
            <w:r w:rsidR="000F6E5C" w:rsidRPr="00E6008C">
              <w:rPr>
                <w:lang w:val="en-GB"/>
              </w:rPr>
              <w:t>the removal of general practice boundaries.</w:t>
            </w:r>
            <w:r w:rsidRPr="00E6008C">
              <w:t xml:space="preserve"> In the pilot, p</w:t>
            </w:r>
            <w:r w:rsidR="000F6E5C" w:rsidRPr="00E6008C">
              <w:rPr>
                <w:lang w:val="en-GB"/>
              </w:rPr>
              <w:t xml:space="preserve">atients living outside a practice catchment area could register as an out of area registered patient or visit a doctor as a day patient. </w:t>
            </w:r>
            <w:r w:rsidRPr="00E6008C">
              <w:t xml:space="preserve">  </w:t>
            </w:r>
            <w:r w:rsidR="00D56FD6" w:rsidRPr="00E6008C">
              <w:t>The Pilot was develop</w:t>
            </w:r>
            <w:r w:rsidR="000F6E5C" w:rsidRPr="00E6008C">
              <w:t xml:space="preserve">ed to </w:t>
            </w:r>
            <w:r w:rsidR="00B16B1C" w:rsidRPr="00E6008C">
              <w:t xml:space="preserve">address a growing </w:t>
            </w:r>
            <w:r w:rsidR="00266A2B" w:rsidRPr="00E6008C">
              <w:t>concern</w:t>
            </w:r>
            <w:r w:rsidR="00B16B1C" w:rsidRPr="00E6008C">
              <w:t xml:space="preserve"> that NHS GP services, based on patient registration with a single general practice, </w:t>
            </w:r>
            <w:r w:rsidR="00266A2B" w:rsidRPr="00E6008C">
              <w:t>might</w:t>
            </w:r>
            <w:r w:rsidR="00B16B1C" w:rsidRPr="00E6008C">
              <w:t xml:space="preserve"> not</w:t>
            </w:r>
            <w:r w:rsidR="00266A2B" w:rsidRPr="00E6008C">
              <w:t xml:space="preserve"> be</w:t>
            </w:r>
            <w:r w:rsidR="00B16B1C" w:rsidRPr="00E6008C">
              <w:t xml:space="preserve"> sufficiently convenient for patients. </w:t>
            </w:r>
            <w:r w:rsidRPr="00E6008C">
              <w:t xml:space="preserve"> </w:t>
            </w:r>
            <w:r w:rsidR="00B16B1C" w:rsidRPr="00E6008C">
              <w:t xml:space="preserve">The Pilot was intended to </w:t>
            </w:r>
            <w:r w:rsidR="000F6E5C" w:rsidRPr="00E6008C">
              <w:t xml:space="preserve">improve access to general practice for workers who had trouble attending during normal working hours, commuters, or </w:t>
            </w:r>
            <w:r w:rsidR="00266A2B" w:rsidRPr="00E6008C">
              <w:t>people moving house who wished to stay with their previous practice</w:t>
            </w:r>
            <w:r w:rsidR="000F6E5C" w:rsidRPr="00E6008C">
              <w:t xml:space="preserve">.  </w:t>
            </w:r>
            <w:r w:rsidR="009314C0" w:rsidRPr="00E6008C">
              <w:t>A</w:t>
            </w:r>
            <w:r w:rsidR="008D46FB" w:rsidRPr="00E6008C">
              <w:t>pproximately half of the</w:t>
            </w:r>
            <w:r w:rsidR="009314C0" w:rsidRPr="00E6008C">
              <w:t xml:space="preserve"> pilot</w:t>
            </w:r>
            <w:r w:rsidR="008D46FB" w:rsidRPr="00E6008C">
              <w:t xml:space="preserve"> practices (46.5%)</w:t>
            </w:r>
            <w:r w:rsidR="009314C0" w:rsidRPr="00E6008C">
              <w:t xml:space="preserve"> were</w:t>
            </w:r>
            <w:r w:rsidR="008D46FB" w:rsidRPr="00E6008C">
              <w:t xml:space="preserve"> in Westminster. </w:t>
            </w:r>
            <w:r w:rsidR="007D1A78" w:rsidRPr="00E6008C">
              <w:t xml:space="preserve">Eleven practices (25.6%) did not have any participating patients.  </w:t>
            </w:r>
            <w:r w:rsidR="008D46FB" w:rsidRPr="00E6008C">
              <w:t>A total of 1108 patients registered as OoA registered patients and 250 patients attended as day patients.</w:t>
            </w:r>
            <w:r w:rsidR="007D1A78" w:rsidRPr="00E6008C">
              <w:t xml:space="preserve">  Over 70% of pilot patients were registered in, or attended a practice in Westminster.  </w:t>
            </w:r>
          </w:p>
          <w:p w14:paraId="0AC56C00" w14:textId="77777777" w:rsidR="00EF6E4D" w:rsidRPr="00E6008C" w:rsidRDefault="00EF6E4D" w:rsidP="00537CC3">
            <w:pPr>
              <w:rPr>
                <w:rFonts w:ascii="Calibri" w:hAnsi="Calibri" w:cs="Calibri"/>
                <w:noProof/>
                <w:sz w:val="22"/>
                <w:szCs w:val="22"/>
              </w:rPr>
            </w:pPr>
          </w:p>
          <w:p w14:paraId="52CCF445" w14:textId="41977D99" w:rsidR="00EF6E4D" w:rsidRPr="00E6008C" w:rsidRDefault="006369D9" w:rsidP="00537CC3">
            <w:pPr>
              <w:rPr>
                <w:sz w:val="22"/>
                <w:szCs w:val="22"/>
              </w:rPr>
            </w:pPr>
            <w:r w:rsidRPr="00E6008C">
              <w:t>Th</w:t>
            </w:r>
            <w:r w:rsidR="009314C0" w:rsidRPr="00E6008C">
              <w:t>e evaluation of the pilot</w:t>
            </w:r>
            <w:r w:rsidRPr="00E6008C">
              <w:t xml:space="preserve"> was a mixed method, </w:t>
            </w:r>
            <w:r w:rsidR="009314C0" w:rsidRPr="00E6008C">
              <w:t xml:space="preserve">mainly </w:t>
            </w:r>
            <w:r w:rsidRPr="00E6008C">
              <w:t xml:space="preserve">cross sectional study that included: </w:t>
            </w:r>
            <w:r w:rsidR="008D46FB" w:rsidRPr="00E6008C">
              <w:t>s</w:t>
            </w:r>
            <w:r w:rsidR="0011340B" w:rsidRPr="00E6008C">
              <w:rPr>
                <w:lang w:val="en-GB"/>
              </w:rPr>
              <w:t>emi-structured interviews with pilot patients (n=24), GPs and practice managers (n=15) in participating practices and staff in the 4 PCTs (n=13)</w:t>
            </w:r>
            <w:r w:rsidR="008D46FB" w:rsidRPr="00E6008C">
              <w:rPr>
                <w:lang w:val="en-GB"/>
              </w:rPr>
              <w:t>; a s</w:t>
            </w:r>
            <w:r w:rsidR="0011340B" w:rsidRPr="00E6008C">
              <w:rPr>
                <w:lang w:val="en-GB"/>
              </w:rPr>
              <w:t>urvey of practice staff and GPs in all pilot practices (23/45, 51% response rate)</w:t>
            </w:r>
            <w:r w:rsidR="008D46FB" w:rsidRPr="00E6008C">
              <w:t>;</w:t>
            </w:r>
            <w:r w:rsidR="009314C0" w:rsidRPr="00E6008C">
              <w:t xml:space="preserve"> and</w:t>
            </w:r>
            <w:r w:rsidR="008D46FB" w:rsidRPr="00E6008C">
              <w:t xml:space="preserve"> a p</w:t>
            </w:r>
            <w:r w:rsidR="0011340B" w:rsidRPr="00E6008C">
              <w:t>ostal survey</w:t>
            </w:r>
            <w:r w:rsidR="0011340B" w:rsidRPr="00E6008C">
              <w:rPr>
                <w:lang w:val="en-GB"/>
              </w:rPr>
              <w:t xml:space="preserve"> of day (64/188, 34%) and out of area registered (315/886, 36%)</w:t>
            </w:r>
            <w:r w:rsidR="0011340B" w:rsidRPr="00E6008C">
              <w:t xml:space="preserve"> patients over 18 years. </w:t>
            </w:r>
            <w:r w:rsidR="009314C0" w:rsidRPr="00E6008C">
              <w:t>Pilot patient survey r</w:t>
            </w:r>
            <w:r w:rsidR="0011340B" w:rsidRPr="00E6008C">
              <w:t>esults were compared with the GP Patient Survey data for year 7 wave 1 (January to September 2012) for the same PCTs and practices</w:t>
            </w:r>
            <w:r w:rsidR="009314C0" w:rsidRPr="00E6008C">
              <w:t>.  The evaluation further  included</w:t>
            </w:r>
            <w:r w:rsidR="008D46FB" w:rsidRPr="00E6008C">
              <w:t xml:space="preserve"> the c</w:t>
            </w:r>
            <w:r w:rsidR="0011340B" w:rsidRPr="00E6008C">
              <w:rPr>
                <w:lang w:val="en-GB"/>
              </w:rPr>
              <w:t xml:space="preserve">ollation of basic administrative data (from </w:t>
            </w:r>
            <w:r w:rsidR="0011340B" w:rsidRPr="00E6008C">
              <w:t xml:space="preserve">National Health Authority Information System, </w:t>
            </w:r>
            <w:r w:rsidR="0011340B" w:rsidRPr="00E6008C">
              <w:rPr>
                <w:lang w:val="en-GB"/>
              </w:rPr>
              <w:t>NHAIS) on out of area registered patients and anonymised cl</w:t>
            </w:r>
            <w:r w:rsidR="008D46FB" w:rsidRPr="00E6008C">
              <w:rPr>
                <w:lang w:val="en-GB"/>
              </w:rPr>
              <w:t xml:space="preserve">inical records for day patients and a </w:t>
            </w:r>
            <w:r w:rsidR="0011340B" w:rsidRPr="00E6008C">
              <w:rPr>
                <w:lang w:val="en-GB"/>
              </w:rPr>
              <w:t xml:space="preserve">Discrete Choice Experiment (DCE) to explore the determinants of choice of registered practice in a general population </w:t>
            </w:r>
            <w:r w:rsidR="009314C0" w:rsidRPr="00E6008C">
              <w:rPr>
                <w:lang w:val="en-GB"/>
              </w:rPr>
              <w:t xml:space="preserve">using a </w:t>
            </w:r>
            <w:r w:rsidR="0011340B" w:rsidRPr="00E6008C">
              <w:rPr>
                <w:lang w:val="en-GB"/>
              </w:rPr>
              <w:t>YouGov web panel (n=2431</w:t>
            </w:r>
            <w:r w:rsidR="008D46FB" w:rsidRPr="00E6008C">
              <w:rPr>
                <w:lang w:val="en-GB"/>
              </w:rPr>
              <w:t>).</w:t>
            </w:r>
          </w:p>
          <w:p w14:paraId="1BC3E4B8" w14:textId="77777777" w:rsidR="00692AD2" w:rsidRPr="00E6008C" w:rsidRDefault="00692AD2" w:rsidP="00502A60"/>
          <w:p w14:paraId="452A1EAA" w14:textId="77777777" w:rsidR="009314C0" w:rsidRDefault="009314C0" w:rsidP="00502A60">
            <w:pPr>
              <w:rPr>
                <w:b/>
              </w:rPr>
            </w:pPr>
            <w:r w:rsidRPr="00E6008C">
              <w:t xml:space="preserve">A full report of the findings of the evaluation is available at </w:t>
            </w:r>
            <w:hyperlink r:id="rId16" w:history="1">
              <w:r w:rsidRPr="00D5448D">
                <w:rPr>
                  <w:rStyle w:val="Hyperlink"/>
                  <w:rFonts w:cstheme="minorHAnsi"/>
                  <w:noProof/>
                  <w:lang w:val="en-GB"/>
                </w:rPr>
                <w:t>www.piru.ac.uk/assets/files/General%20Practice%20Choice%20Pilot%20Evaluation.pdf</w:t>
              </w:r>
            </w:hyperlink>
            <w:r w:rsidRPr="00D5448D">
              <w:rPr>
                <w:rFonts w:ascii="Calibri" w:hAnsi="Calibri" w:cstheme="minorHAnsi"/>
                <w:noProof/>
                <w:lang w:val="en-GB"/>
              </w:rPr>
              <w:t>.</w:t>
            </w:r>
          </w:p>
        </w:tc>
      </w:tr>
    </w:tbl>
    <w:p w14:paraId="7273BEEA" w14:textId="77777777" w:rsidR="00692AD2" w:rsidRDefault="00692AD2" w:rsidP="00502A60">
      <w:pPr>
        <w:rPr>
          <w:b/>
        </w:rPr>
      </w:pPr>
    </w:p>
    <w:sectPr w:rsidR="00692AD2" w:rsidSect="006C16DC">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938DF" w14:textId="77777777" w:rsidR="00537CC3" w:rsidRDefault="00537CC3" w:rsidP="003A4D08">
      <w:r>
        <w:separator/>
      </w:r>
    </w:p>
  </w:endnote>
  <w:endnote w:type="continuationSeparator" w:id="0">
    <w:p w14:paraId="09387CBB" w14:textId="77777777" w:rsidR="00537CC3" w:rsidRDefault="00537CC3" w:rsidP="003A4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31666" w14:textId="77777777" w:rsidR="00537CC3" w:rsidRDefault="00537CC3" w:rsidP="003A4D08">
      <w:r>
        <w:separator/>
      </w:r>
    </w:p>
  </w:footnote>
  <w:footnote w:type="continuationSeparator" w:id="0">
    <w:p w14:paraId="766C8E0A" w14:textId="77777777" w:rsidR="00537CC3" w:rsidRDefault="00537CC3" w:rsidP="003A4D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4083C"/>
    <w:multiLevelType w:val="multilevel"/>
    <w:tmpl w:val="94B6892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DB4726C"/>
    <w:multiLevelType w:val="hybridMultilevel"/>
    <w:tmpl w:val="EF068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7E1922"/>
    <w:multiLevelType w:val="hybridMultilevel"/>
    <w:tmpl w:val="C2280330"/>
    <w:lvl w:ilvl="0" w:tplc="8FAA1840">
      <w:start w:val="1"/>
      <w:numFmt w:val="bullet"/>
      <w:lvlText w:val="•"/>
      <w:lvlJc w:val="left"/>
      <w:pPr>
        <w:tabs>
          <w:tab w:val="num" w:pos="720"/>
        </w:tabs>
        <w:ind w:left="720" w:hanging="360"/>
      </w:pPr>
      <w:rPr>
        <w:rFonts w:ascii="Arial" w:hAnsi="Arial" w:hint="default"/>
      </w:rPr>
    </w:lvl>
    <w:lvl w:ilvl="1" w:tplc="CF663384" w:tentative="1">
      <w:start w:val="1"/>
      <w:numFmt w:val="bullet"/>
      <w:lvlText w:val="•"/>
      <w:lvlJc w:val="left"/>
      <w:pPr>
        <w:tabs>
          <w:tab w:val="num" w:pos="1440"/>
        </w:tabs>
        <w:ind w:left="1440" w:hanging="360"/>
      </w:pPr>
      <w:rPr>
        <w:rFonts w:ascii="Arial" w:hAnsi="Arial" w:hint="default"/>
      </w:rPr>
    </w:lvl>
    <w:lvl w:ilvl="2" w:tplc="BC3A7D4C" w:tentative="1">
      <w:start w:val="1"/>
      <w:numFmt w:val="bullet"/>
      <w:lvlText w:val="•"/>
      <w:lvlJc w:val="left"/>
      <w:pPr>
        <w:tabs>
          <w:tab w:val="num" w:pos="2160"/>
        </w:tabs>
        <w:ind w:left="2160" w:hanging="360"/>
      </w:pPr>
      <w:rPr>
        <w:rFonts w:ascii="Arial" w:hAnsi="Arial" w:hint="default"/>
      </w:rPr>
    </w:lvl>
    <w:lvl w:ilvl="3" w:tplc="39ACD88C" w:tentative="1">
      <w:start w:val="1"/>
      <w:numFmt w:val="bullet"/>
      <w:lvlText w:val="•"/>
      <w:lvlJc w:val="left"/>
      <w:pPr>
        <w:tabs>
          <w:tab w:val="num" w:pos="2880"/>
        </w:tabs>
        <w:ind w:left="2880" w:hanging="360"/>
      </w:pPr>
      <w:rPr>
        <w:rFonts w:ascii="Arial" w:hAnsi="Arial" w:hint="default"/>
      </w:rPr>
    </w:lvl>
    <w:lvl w:ilvl="4" w:tplc="EAE04D26" w:tentative="1">
      <w:start w:val="1"/>
      <w:numFmt w:val="bullet"/>
      <w:lvlText w:val="•"/>
      <w:lvlJc w:val="left"/>
      <w:pPr>
        <w:tabs>
          <w:tab w:val="num" w:pos="3600"/>
        </w:tabs>
        <w:ind w:left="3600" w:hanging="360"/>
      </w:pPr>
      <w:rPr>
        <w:rFonts w:ascii="Arial" w:hAnsi="Arial" w:hint="default"/>
      </w:rPr>
    </w:lvl>
    <w:lvl w:ilvl="5" w:tplc="14F8B8AA" w:tentative="1">
      <w:start w:val="1"/>
      <w:numFmt w:val="bullet"/>
      <w:lvlText w:val="•"/>
      <w:lvlJc w:val="left"/>
      <w:pPr>
        <w:tabs>
          <w:tab w:val="num" w:pos="4320"/>
        </w:tabs>
        <w:ind w:left="4320" w:hanging="360"/>
      </w:pPr>
      <w:rPr>
        <w:rFonts w:ascii="Arial" w:hAnsi="Arial" w:hint="default"/>
      </w:rPr>
    </w:lvl>
    <w:lvl w:ilvl="6" w:tplc="F0EC11D4" w:tentative="1">
      <w:start w:val="1"/>
      <w:numFmt w:val="bullet"/>
      <w:lvlText w:val="•"/>
      <w:lvlJc w:val="left"/>
      <w:pPr>
        <w:tabs>
          <w:tab w:val="num" w:pos="5040"/>
        </w:tabs>
        <w:ind w:left="5040" w:hanging="360"/>
      </w:pPr>
      <w:rPr>
        <w:rFonts w:ascii="Arial" w:hAnsi="Arial" w:hint="default"/>
      </w:rPr>
    </w:lvl>
    <w:lvl w:ilvl="7" w:tplc="5BC614B6" w:tentative="1">
      <w:start w:val="1"/>
      <w:numFmt w:val="bullet"/>
      <w:lvlText w:val="•"/>
      <w:lvlJc w:val="left"/>
      <w:pPr>
        <w:tabs>
          <w:tab w:val="num" w:pos="5760"/>
        </w:tabs>
        <w:ind w:left="5760" w:hanging="360"/>
      </w:pPr>
      <w:rPr>
        <w:rFonts w:ascii="Arial" w:hAnsi="Arial" w:hint="default"/>
      </w:rPr>
    </w:lvl>
    <w:lvl w:ilvl="8" w:tplc="0F2C5B42" w:tentative="1">
      <w:start w:val="1"/>
      <w:numFmt w:val="bullet"/>
      <w:lvlText w:val="•"/>
      <w:lvlJc w:val="left"/>
      <w:pPr>
        <w:tabs>
          <w:tab w:val="num" w:pos="6480"/>
        </w:tabs>
        <w:ind w:left="6480" w:hanging="360"/>
      </w:pPr>
      <w:rPr>
        <w:rFonts w:ascii="Arial" w:hAnsi="Arial" w:hint="default"/>
      </w:rPr>
    </w:lvl>
  </w:abstractNum>
  <w:abstractNum w:abstractNumId="3">
    <w:nsid w:val="1E652DB0"/>
    <w:multiLevelType w:val="hybridMultilevel"/>
    <w:tmpl w:val="08CA8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7D5603"/>
    <w:multiLevelType w:val="hybridMultilevel"/>
    <w:tmpl w:val="83A4A602"/>
    <w:lvl w:ilvl="0" w:tplc="C80CEEC4">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EA0B5E"/>
    <w:multiLevelType w:val="hybridMultilevel"/>
    <w:tmpl w:val="68DEA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065466"/>
    <w:multiLevelType w:val="hybridMultilevel"/>
    <w:tmpl w:val="09D23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1562E6"/>
    <w:multiLevelType w:val="hybridMultilevel"/>
    <w:tmpl w:val="7AEE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5C904FB"/>
    <w:multiLevelType w:val="hybridMultilevel"/>
    <w:tmpl w:val="6B3AFAB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nsid w:val="471817F0"/>
    <w:multiLevelType w:val="hybridMultilevel"/>
    <w:tmpl w:val="18F01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63A2D17"/>
    <w:multiLevelType w:val="hybridMultilevel"/>
    <w:tmpl w:val="FB629782"/>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E553B8D"/>
    <w:multiLevelType w:val="hybridMultilevel"/>
    <w:tmpl w:val="AA7CF86E"/>
    <w:lvl w:ilvl="0" w:tplc="09AEC45C">
      <w:numFmt w:val="bullet"/>
      <w:lvlText w:val="-"/>
      <w:lvlJc w:val="left"/>
      <w:pPr>
        <w:ind w:left="720" w:hanging="360"/>
      </w:pPr>
      <w:rPr>
        <w:rFonts w:ascii="Cambria" w:eastAsiaTheme="minorEastAsia" w:hAnsi="Cambria" w:cstheme="minorBidi"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2602D2"/>
    <w:multiLevelType w:val="hybridMultilevel"/>
    <w:tmpl w:val="C4023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0072FE0"/>
    <w:multiLevelType w:val="hybridMultilevel"/>
    <w:tmpl w:val="A8A8B4AC"/>
    <w:lvl w:ilvl="0" w:tplc="D6262658">
      <w:start w:val="1"/>
      <w:numFmt w:val="bullet"/>
      <w:lvlText w:val="•"/>
      <w:lvlJc w:val="left"/>
      <w:pPr>
        <w:tabs>
          <w:tab w:val="num" w:pos="720"/>
        </w:tabs>
        <w:ind w:left="720" w:hanging="360"/>
      </w:pPr>
      <w:rPr>
        <w:rFonts w:ascii="Arial" w:hAnsi="Arial" w:hint="default"/>
      </w:rPr>
    </w:lvl>
    <w:lvl w:ilvl="1" w:tplc="863C13E6" w:tentative="1">
      <w:start w:val="1"/>
      <w:numFmt w:val="bullet"/>
      <w:lvlText w:val="•"/>
      <w:lvlJc w:val="left"/>
      <w:pPr>
        <w:tabs>
          <w:tab w:val="num" w:pos="1440"/>
        </w:tabs>
        <w:ind w:left="1440" w:hanging="360"/>
      </w:pPr>
      <w:rPr>
        <w:rFonts w:ascii="Arial" w:hAnsi="Arial" w:hint="default"/>
      </w:rPr>
    </w:lvl>
    <w:lvl w:ilvl="2" w:tplc="DD2C62C4" w:tentative="1">
      <w:start w:val="1"/>
      <w:numFmt w:val="bullet"/>
      <w:lvlText w:val="•"/>
      <w:lvlJc w:val="left"/>
      <w:pPr>
        <w:tabs>
          <w:tab w:val="num" w:pos="2160"/>
        </w:tabs>
        <w:ind w:left="2160" w:hanging="360"/>
      </w:pPr>
      <w:rPr>
        <w:rFonts w:ascii="Arial" w:hAnsi="Arial" w:hint="default"/>
      </w:rPr>
    </w:lvl>
    <w:lvl w:ilvl="3" w:tplc="66AE92D8" w:tentative="1">
      <w:start w:val="1"/>
      <w:numFmt w:val="bullet"/>
      <w:lvlText w:val="•"/>
      <w:lvlJc w:val="left"/>
      <w:pPr>
        <w:tabs>
          <w:tab w:val="num" w:pos="2880"/>
        </w:tabs>
        <w:ind w:left="2880" w:hanging="360"/>
      </w:pPr>
      <w:rPr>
        <w:rFonts w:ascii="Arial" w:hAnsi="Arial" w:hint="default"/>
      </w:rPr>
    </w:lvl>
    <w:lvl w:ilvl="4" w:tplc="0B6A4DB2" w:tentative="1">
      <w:start w:val="1"/>
      <w:numFmt w:val="bullet"/>
      <w:lvlText w:val="•"/>
      <w:lvlJc w:val="left"/>
      <w:pPr>
        <w:tabs>
          <w:tab w:val="num" w:pos="3600"/>
        </w:tabs>
        <w:ind w:left="3600" w:hanging="360"/>
      </w:pPr>
      <w:rPr>
        <w:rFonts w:ascii="Arial" w:hAnsi="Arial" w:hint="default"/>
      </w:rPr>
    </w:lvl>
    <w:lvl w:ilvl="5" w:tplc="08367C7A" w:tentative="1">
      <w:start w:val="1"/>
      <w:numFmt w:val="bullet"/>
      <w:lvlText w:val="•"/>
      <w:lvlJc w:val="left"/>
      <w:pPr>
        <w:tabs>
          <w:tab w:val="num" w:pos="4320"/>
        </w:tabs>
        <w:ind w:left="4320" w:hanging="360"/>
      </w:pPr>
      <w:rPr>
        <w:rFonts w:ascii="Arial" w:hAnsi="Arial" w:hint="default"/>
      </w:rPr>
    </w:lvl>
    <w:lvl w:ilvl="6" w:tplc="F0BCE686" w:tentative="1">
      <w:start w:val="1"/>
      <w:numFmt w:val="bullet"/>
      <w:lvlText w:val="•"/>
      <w:lvlJc w:val="left"/>
      <w:pPr>
        <w:tabs>
          <w:tab w:val="num" w:pos="5040"/>
        </w:tabs>
        <w:ind w:left="5040" w:hanging="360"/>
      </w:pPr>
      <w:rPr>
        <w:rFonts w:ascii="Arial" w:hAnsi="Arial" w:hint="default"/>
      </w:rPr>
    </w:lvl>
    <w:lvl w:ilvl="7" w:tplc="3F40E360" w:tentative="1">
      <w:start w:val="1"/>
      <w:numFmt w:val="bullet"/>
      <w:lvlText w:val="•"/>
      <w:lvlJc w:val="left"/>
      <w:pPr>
        <w:tabs>
          <w:tab w:val="num" w:pos="5760"/>
        </w:tabs>
        <w:ind w:left="5760" w:hanging="360"/>
      </w:pPr>
      <w:rPr>
        <w:rFonts w:ascii="Arial" w:hAnsi="Arial" w:hint="default"/>
      </w:rPr>
    </w:lvl>
    <w:lvl w:ilvl="8" w:tplc="7486D84C" w:tentative="1">
      <w:start w:val="1"/>
      <w:numFmt w:val="bullet"/>
      <w:lvlText w:val="•"/>
      <w:lvlJc w:val="left"/>
      <w:pPr>
        <w:tabs>
          <w:tab w:val="num" w:pos="6480"/>
        </w:tabs>
        <w:ind w:left="6480" w:hanging="360"/>
      </w:pPr>
      <w:rPr>
        <w:rFonts w:ascii="Arial" w:hAnsi="Arial" w:hint="default"/>
      </w:rPr>
    </w:lvl>
  </w:abstractNum>
  <w:abstractNum w:abstractNumId="14">
    <w:nsid w:val="62C2697B"/>
    <w:multiLevelType w:val="hybridMultilevel"/>
    <w:tmpl w:val="E3B88C02"/>
    <w:lvl w:ilvl="0" w:tplc="9A24FF5C">
      <w:start w:val="1"/>
      <w:numFmt w:val="bullet"/>
      <w:lvlText w:val="•"/>
      <w:lvlJc w:val="left"/>
      <w:pPr>
        <w:tabs>
          <w:tab w:val="num" w:pos="720"/>
        </w:tabs>
        <w:ind w:left="720" w:hanging="360"/>
      </w:pPr>
      <w:rPr>
        <w:rFonts w:ascii="Arial" w:hAnsi="Arial" w:hint="default"/>
      </w:rPr>
    </w:lvl>
    <w:lvl w:ilvl="1" w:tplc="05527E70" w:tentative="1">
      <w:start w:val="1"/>
      <w:numFmt w:val="bullet"/>
      <w:lvlText w:val="•"/>
      <w:lvlJc w:val="left"/>
      <w:pPr>
        <w:tabs>
          <w:tab w:val="num" w:pos="1440"/>
        </w:tabs>
        <w:ind w:left="1440" w:hanging="360"/>
      </w:pPr>
      <w:rPr>
        <w:rFonts w:ascii="Arial" w:hAnsi="Arial" w:hint="default"/>
      </w:rPr>
    </w:lvl>
    <w:lvl w:ilvl="2" w:tplc="30523442" w:tentative="1">
      <w:start w:val="1"/>
      <w:numFmt w:val="bullet"/>
      <w:lvlText w:val="•"/>
      <w:lvlJc w:val="left"/>
      <w:pPr>
        <w:tabs>
          <w:tab w:val="num" w:pos="2160"/>
        </w:tabs>
        <w:ind w:left="2160" w:hanging="360"/>
      </w:pPr>
      <w:rPr>
        <w:rFonts w:ascii="Arial" w:hAnsi="Arial" w:hint="default"/>
      </w:rPr>
    </w:lvl>
    <w:lvl w:ilvl="3" w:tplc="1FDA3AC8" w:tentative="1">
      <w:start w:val="1"/>
      <w:numFmt w:val="bullet"/>
      <w:lvlText w:val="•"/>
      <w:lvlJc w:val="left"/>
      <w:pPr>
        <w:tabs>
          <w:tab w:val="num" w:pos="2880"/>
        </w:tabs>
        <w:ind w:left="2880" w:hanging="360"/>
      </w:pPr>
      <w:rPr>
        <w:rFonts w:ascii="Arial" w:hAnsi="Arial" w:hint="default"/>
      </w:rPr>
    </w:lvl>
    <w:lvl w:ilvl="4" w:tplc="5DDAF0C6" w:tentative="1">
      <w:start w:val="1"/>
      <w:numFmt w:val="bullet"/>
      <w:lvlText w:val="•"/>
      <w:lvlJc w:val="left"/>
      <w:pPr>
        <w:tabs>
          <w:tab w:val="num" w:pos="3600"/>
        </w:tabs>
        <w:ind w:left="3600" w:hanging="360"/>
      </w:pPr>
      <w:rPr>
        <w:rFonts w:ascii="Arial" w:hAnsi="Arial" w:hint="default"/>
      </w:rPr>
    </w:lvl>
    <w:lvl w:ilvl="5" w:tplc="A562343E" w:tentative="1">
      <w:start w:val="1"/>
      <w:numFmt w:val="bullet"/>
      <w:lvlText w:val="•"/>
      <w:lvlJc w:val="left"/>
      <w:pPr>
        <w:tabs>
          <w:tab w:val="num" w:pos="4320"/>
        </w:tabs>
        <w:ind w:left="4320" w:hanging="360"/>
      </w:pPr>
      <w:rPr>
        <w:rFonts w:ascii="Arial" w:hAnsi="Arial" w:hint="default"/>
      </w:rPr>
    </w:lvl>
    <w:lvl w:ilvl="6" w:tplc="9F061588" w:tentative="1">
      <w:start w:val="1"/>
      <w:numFmt w:val="bullet"/>
      <w:lvlText w:val="•"/>
      <w:lvlJc w:val="left"/>
      <w:pPr>
        <w:tabs>
          <w:tab w:val="num" w:pos="5040"/>
        </w:tabs>
        <w:ind w:left="5040" w:hanging="360"/>
      </w:pPr>
      <w:rPr>
        <w:rFonts w:ascii="Arial" w:hAnsi="Arial" w:hint="default"/>
      </w:rPr>
    </w:lvl>
    <w:lvl w:ilvl="7" w:tplc="81924CF4" w:tentative="1">
      <w:start w:val="1"/>
      <w:numFmt w:val="bullet"/>
      <w:lvlText w:val="•"/>
      <w:lvlJc w:val="left"/>
      <w:pPr>
        <w:tabs>
          <w:tab w:val="num" w:pos="5760"/>
        </w:tabs>
        <w:ind w:left="5760" w:hanging="360"/>
      </w:pPr>
      <w:rPr>
        <w:rFonts w:ascii="Arial" w:hAnsi="Arial" w:hint="default"/>
      </w:rPr>
    </w:lvl>
    <w:lvl w:ilvl="8" w:tplc="C13A80A4" w:tentative="1">
      <w:start w:val="1"/>
      <w:numFmt w:val="bullet"/>
      <w:lvlText w:val="•"/>
      <w:lvlJc w:val="left"/>
      <w:pPr>
        <w:tabs>
          <w:tab w:val="num" w:pos="6480"/>
        </w:tabs>
        <w:ind w:left="6480" w:hanging="360"/>
      </w:pPr>
      <w:rPr>
        <w:rFonts w:ascii="Arial" w:hAnsi="Arial" w:hint="default"/>
      </w:rPr>
    </w:lvl>
  </w:abstractNum>
  <w:abstractNum w:abstractNumId="15">
    <w:nsid w:val="74843A96"/>
    <w:multiLevelType w:val="hybridMultilevel"/>
    <w:tmpl w:val="B9D018A0"/>
    <w:lvl w:ilvl="0" w:tplc="17940ADC">
      <w:start w:val="1"/>
      <w:numFmt w:val="bullet"/>
      <w:lvlText w:val="•"/>
      <w:lvlJc w:val="left"/>
      <w:pPr>
        <w:tabs>
          <w:tab w:val="num" w:pos="720"/>
        </w:tabs>
        <w:ind w:left="720" w:hanging="360"/>
      </w:pPr>
      <w:rPr>
        <w:rFonts w:ascii="Arial" w:hAnsi="Arial" w:hint="default"/>
      </w:rPr>
    </w:lvl>
    <w:lvl w:ilvl="1" w:tplc="DB32C7FA" w:tentative="1">
      <w:start w:val="1"/>
      <w:numFmt w:val="bullet"/>
      <w:lvlText w:val="•"/>
      <w:lvlJc w:val="left"/>
      <w:pPr>
        <w:tabs>
          <w:tab w:val="num" w:pos="1440"/>
        </w:tabs>
        <w:ind w:left="1440" w:hanging="360"/>
      </w:pPr>
      <w:rPr>
        <w:rFonts w:ascii="Arial" w:hAnsi="Arial" w:hint="default"/>
      </w:rPr>
    </w:lvl>
    <w:lvl w:ilvl="2" w:tplc="7AA6BA12" w:tentative="1">
      <w:start w:val="1"/>
      <w:numFmt w:val="bullet"/>
      <w:lvlText w:val="•"/>
      <w:lvlJc w:val="left"/>
      <w:pPr>
        <w:tabs>
          <w:tab w:val="num" w:pos="2160"/>
        </w:tabs>
        <w:ind w:left="2160" w:hanging="360"/>
      </w:pPr>
      <w:rPr>
        <w:rFonts w:ascii="Arial" w:hAnsi="Arial" w:hint="default"/>
      </w:rPr>
    </w:lvl>
    <w:lvl w:ilvl="3" w:tplc="FCC0F988" w:tentative="1">
      <w:start w:val="1"/>
      <w:numFmt w:val="bullet"/>
      <w:lvlText w:val="•"/>
      <w:lvlJc w:val="left"/>
      <w:pPr>
        <w:tabs>
          <w:tab w:val="num" w:pos="2880"/>
        </w:tabs>
        <w:ind w:left="2880" w:hanging="360"/>
      </w:pPr>
      <w:rPr>
        <w:rFonts w:ascii="Arial" w:hAnsi="Arial" w:hint="default"/>
      </w:rPr>
    </w:lvl>
    <w:lvl w:ilvl="4" w:tplc="5F525C6C" w:tentative="1">
      <w:start w:val="1"/>
      <w:numFmt w:val="bullet"/>
      <w:lvlText w:val="•"/>
      <w:lvlJc w:val="left"/>
      <w:pPr>
        <w:tabs>
          <w:tab w:val="num" w:pos="3600"/>
        </w:tabs>
        <w:ind w:left="3600" w:hanging="360"/>
      </w:pPr>
      <w:rPr>
        <w:rFonts w:ascii="Arial" w:hAnsi="Arial" w:hint="default"/>
      </w:rPr>
    </w:lvl>
    <w:lvl w:ilvl="5" w:tplc="FB6C1B56" w:tentative="1">
      <w:start w:val="1"/>
      <w:numFmt w:val="bullet"/>
      <w:lvlText w:val="•"/>
      <w:lvlJc w:val="left"/>
      <w:pPr>
        <w:tabs>
          <w:tab w:val="num" w:pos="4320"/>
        </w:tabs>
        <w:ind w:left="4320" w:hanging="360"/>
      </w:pPr>
      <w:rPr>
        <w:rFonts w:ascii="Arial" w:hAnsi="Arial" w:hint="default"/>
      </w:rPr>
    </w:lvl>
    <w:lvl w:ilvl="6" w:tplc="FC9A591A" w:tentative="1">
      <w:start w:val="1"/>
      <w:numFmt w:val="bullet"/>
      <w:lvlText w:val="•"/>
      <w:lvlJc w:val="left"/>
      <w:pPr>
        <w:tabs>
          <w:tab w:val="num" w:pos="5040"/>
        </w:tabs>
        <w:ind w:left="5040" w:hanging="360"/>
      </w:pPr>
      <w:rPr>
        <w:rFonts w:ascii="Arial" w:hAnsi="Arial" w:hint="default"/>
      </w:rPr>
    </w:lvl>
    <w:lvl w:ilvl="7" w:tplc="8FE84A48" w:tentative="1">
      <w:start w:val="1"/>
      <w:numFmt w:val="bullet"/>
      <w:lvlText w:val="•"/>
      <w:lvlJc w:val="left"/>
      <w:pPr>
        <w:tabs>
          <w:tab w:val="num" w:pos="5760"/>
        </w:tabs>
        <w:ind w:left="5760" w:hanging="360"/>
      </w:pPr>
      <w:rPr>
        <w:rFonts w:ascii="Arial" w:hAnsi="Arial" w:hint="default"/>
      </w:rPr>
    </w:lvl>
    <w:lvl w:ilvl="8" w:tplc="FF3C5F1E" w:tentative="1">
      <w:start w:val="1"/>
      <w:numFmt w:val="bullet"/>
      <w:lvlText w:val="•"/>
      <w:lvlJc w:val="left"/>
      <w:pPr>
        <w:tabs>
          <w:tab w:val="num" w:pos="6480"/>
        </w:tabs>
        <w:ind w:left="6480" w:hanging="360"/>
      </w:pPr>
      <w:rPr>
        <w:rFonts w:ascii="Arial" w:hAnsi="Arial" w:hint="default"/>
      </w:rPr>
    </w:lvl>
  </w:abstractNum>
  <w:abstractNum w:abstractNumId="16">
    <w:nsid w:val="75F91178"/>
    <w:multiLevelType w:val="hybridMultilevel"/>
    <w:tmpl w:val="9F6C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711DD3"/>
    <w:multiLevelType w:val="hybridMultilevel"/>
    <w:tmpl w:val="AF387BAA"/>
    <w:lvl w:ilvl="0" w:tplc="09AEC45C">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9F046F"/>
    <w:multiLevelType w:val="hybridMultilevel"/>
    <w:tmpl w:val="11F8A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1"/>
  </w:num>
  <w:num w:numId="4">
    <w:abstractNumId w:val="10"/>
  </w:num>
  <w:num w:numId="5">
    <w:abstractNumId w:val="8"/>
  </w:num>
  <w:num w:numId="6">
    <w:abstractNumId w:val="1"/>
  </w:num>
  <w:num w:numId="7">
    <w:abstractNumId w:val="3"/>
  </w:num>
  <w:num w:numId="8">
    <w:abstractNumId w:val="5"/>
  </w:num>
  <w:num w:numId="9">
    <w:abstractNumId w:val="9"/>
  </w:num>
  <w:num w:numId="10">
    <w:abstractNumId w:val="7"/>
  </w:num>
  <w:num w:numId="11">
    <w:abstractNumId w:val="18"/>
  </w:num>
  <w:num w:numId="12">
    <w:abstractNumId w:val="12"/>
  </w:num>
  <w:num w:numId="13">
    <w:abstractNumId w:val="0"/>
  </w:num>
  <w:num w:numId="14">
    <w:abstractNumId w:val="6"/>
  </w:num>
  <w:num w:numId="15">
    <w:abstractNumId w:val="16"/>
  </w:num>
  <w:num w:numId="16">
    <w:abstractNumId w:val="13"/>
  </w:num>
  <w:num w:numId="17">
    <w:abstractNumId w:val="15"/>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tdswpda0va5vqe5pzg5w50lf0txassaw0zx&quot;&gt;Primary care (English NHS)&lt;record-ids&gt;&lt;item&gt;37&lt;/item&gt;&lt;item&gt;60&lt;/item&gt;&lt;item&gt;65&lt;/item&gt;&lt;item&gt;67&lt;/item&gt;&lt;item&gt;68&lt;/item&gt;&lt;item&gt;69&lt;/item&gt;&lt;item&gt;71&lt;/item&gt;&lt;item&gt;76&lt;/item&gt;&lt;item&gt;77&lt;/item&gt;&lt;item&gt;78&lt;/item&gt;&lt;item&gt;80&lt;/item&gt;&lt;item&gt;81&lt;/item&gt;&lt;item&gt;82&lt;/item&gt;&lt;item&gt;87&lt;/item&gt;&lt;item&gt;88&lt;/item&gt;&lt;item&gt;90&lt;/item&gt;&lt;item&gt;91&lt;/item&gt;&lt;item&gt;92&lt;/item&gt;&lt;item&gt;93&lt;/item&gt;&lt;/record-ids&gt;&lt;/item&gt;&lt;/Libraries&gt;"/>
  </w:docVars>
  <w:rsids>
    <w:rsidRoot w:val="00A8052A"/>
    <w:rsid w:val="000012FC"/>
    <w:rsid w:val="000033E0"/>
    <w:rsid w:val="00004E93"/>
    <w:rsid w:val="00014350"/>
    <w:rsid w:val="00016522"/>
    <w:rsid w:val="000168F8"/>
    <w:rsid w:val="00020F6B"/>
    <w:rsid w:val="000227ED"/>
    <w:rsid w:val="00026B29"/>
    <w:rsid w:val="00027F8B"/>
    <w:rsid w:val="00040A43"/>
    <w:rsid w:val="00042CA7"/>
    <w:rsid w:val="00044B81"/>
    <w:rsid w:val="000531F3"/>
    <w:rsid w:val="000563D3"/>
    <w:rsid w:val="000640FE"/>
    <w:rsid w:val="0006437A"/>
    <w:rsid w:val="00074EAC"/>
    <w:rsid w:val="000809E9"/>
    <w:rsid w:val="00082AF7"/>
    <w:rsid w:val="000858A5"/>
    <w:rsid w:val="000909E6"/>
    <w:rsid w:val="00091A5A"/>
    <w:rsid w:val="00094006"/>
    <w:rsid w:val="00097954"/>
    <w:rsid w:val="000A062A"/>
    <w:rsid w:val="000A1551"/>
    <w:rsid w:val="000A5398"/>
    <w:rsid w:val="000A66FE"/>
    <w:rsid w:val="000A67CE"/>
    <w:rsid w:val="000B608A"/>
    <w:rsid w:val="000C1603"/>
    <w:rsid w:val="000C1F54"/>
    <w:rsid w:val="000D2679"/>
    <w:rsid w:val="000D43F7"/>
    <w:rsid w:val="000D460C"/>
    <w:rsid w:val="000D77E5"/>
    <w:rsid w:val="000D787D"/>
    <w:rsid w:val="000E3F6E"/>
    <w:rsid w:val="000E53E5"/>
    <w:rsid w:val="000E651F"/>
    <w:rsid w:val="000F004F"/>
    <w:rsid w:val="000F4C02"/>
    <w:rsid w:val="000F6E5C"/>
    <w:rsid w:val="00104A42"/>
    <w:rsid w:val="00105B02"/>
    <w:rsid w:val="00107BE4"/>
    <w:rsid w:val="0011275F"/>
    <w:rsid w:val="0011340B"/>
    <w:rsid w:val="00116F1E"/>
    <w:rsid w:val="00126188"/>
    <w:rsid w:val="00131195"/>
    <w:rsid w:val="0013403F"/>
    <w:rsid w:val="001375B2"/>
    <w:rsid w:val="00137C05"/>
    <w:rsid w:val="0014395C"/>
    <w:rsid w:val="0015343D"/>
    <w:rsid w:val="00154DB2"/>
    <w:rsid w:val="001571B9"/>
    <w:rsid w:val="00161099"/>
    <w:rsid w:val="00162451"/>
    <w:rsid w:val="001702EC"/>
    <w:rsid w:val="00177402"/>
    <w:rsid w:val="001830B7"/>
    <w:rsid w:val="00184512"/>
    <w:rsid w:val="00191346"/>
    <w:rsid w:val="001929D2"/>
    <w:rsid w:val="001934AA"/>
    <w:rsid w:val="00197912"/>
    <w:rsid w:val="001A2433"/>
    <w:rsid w:val="001A68C8"/>
    <w:rsid w:val="001C22C3"/>
    <w:rsid w:val="001C462D"/>
    <w:rsid w:val="001D1986"/>
    <w:rsid w:val="001D401C"/>
    <w:rsid w:val="001D5A7B"/>
    <w:rsid w:val="001D6A97"/>
    <w:rsid w:val="001D7110"/>
    <w:rsid w:val="001E1CEB"/>
    <w:rsid w:val="001E42C9"/>
    <w:rsid w:val="001E6129"/>
    <w:rsid w:val="001F34AF"/>
    <w:rsid w:val="00202B57"/>
    <w:rsid w:val="00204D2A"/>
    <w:rsid w:val="00204E89"/>
    <w:rsid w:val="00205F61"/>
    <w:rsid w:val="00212EB3"/>
    <w:rsid w:val="002149DD"/>
    <w:rsid w:val="0021572A"/>
    <w:rsid w:val="002161DA"/>
    <w:rsid w:val="00217434"/>
    <w:rsid w:val="002216E7"/>
    <w:rsid w:val="00221A8D"/>
    <w:rsid w:val="00226ED0"/>
    <w:rsid w:val="00227373"/>
    <w:rsid w:val="002371A7"/>
    <w:rsid w:val="00241113"/>
    <w:rsid w:val="0024254F"/>
    <w:rsid w:val="00244742"/>
    <w:rsid w:val="0024542F"/>
    <w:rsid w:val="00252173"/>
    <w:rsid w:val="00257AF9"/>
    <w:rsid w:val="00261193"/>
    <w:rsid w:val="0026481B"/>
    <w:rsid w:val="002650E0"/>
    <w:rsid w:val="002655ED"/>
    <w:rsid w:val="00266A2B"/>
    <w:rsid w:val="00272AFF"/>
    <w:rsid w:val="00277609"/>
    <w:rsid w:val="00277CC9"/>
    <w:rsid w:val="00285732"/>
    <w:rsid w:val="0029245F"/>
    <w:rsid w:val="002A1D18"/>
    <w:rsid w:val="002A4182"/>
    <w:rsid w:val="002A4DF1"/>
    <w:rsid w:val="002A61F3"/>
    <w:rsid w:val="002B3228"/>
    <w:rsid w:val="002C5AF1"/>
    <w:rsid w:val="002D05D6"/>
    <w:rsid w:val="002D091F"/>
    <w:rsid w:val="002D0E99"/>
    <w:rsid w:val="002D1EF4"/>
    <w:rsid w:val="002D427F"/>
    <w:rsid w:val="002E0858"/>
    <w:rsid w:val="002E7970"/>
    <w:rsid w:val="002F0445"/>
    <w:rsid w:val="002F2DC9"/>
    <w:rsid w:val="002F4893"/>
    <w:rsid w:val="002F4D86"/>
    <w:rsid w:val="00302B01"/>
    <w:rsid w:val="00306826"/>
    <w:rsid w:val="00310E3E"/>
    <w:rsid w:val="00311039"/>
    <w:rsid w:val="00314BB1"/>
    <w:rsid w:val="00321EA5"/>
    <w:rsid w:val="003221F7"/>
    <w:rsid w:val="003254D0"/>
    <w:rsid w:val="003256DA"/>
    <w:rsid w:val="00326CCB"/>
    <w:rsid w:val="00331B2C"/>
    <w:rsid w:val="00332711"/>
    <w:rsid w:val="0033604B"/>
    <w:rsid w:val="00340897"/>
    <w:rsid w:val="00345FD2"/>
    <w:rsid w:val="003475D9"/>
    <w:rsid w:val="00360200"/>
    <w:rsid w:val="00361CF1"/>
    <w:rsid w:val="00364768"/>
    <w:rsid w:val="00372132"/>
    <w:rsid w:val="003851DD"/>
    <w:rsid w:val="00393756"/>
    <w:rsid w:val="00393B1C"/>
    <w:rsid w:val="00393BF9"/>
    <w:rsid w:val="00394043"/>
    <w:rsid w:val="00395A19"/>
    <w:rsid w:val="003A1F48"/>
    <w:rsid w:val="003A4D08"/>
    <w:rsid w:val="003B1362"/>
    <w:rsid w:val="003C0F32"/>
    <w:rsid w:val="003C3BB9"/>
    <w:rsid w:val="003D4624"/>
    <w:rsid w:val="003E2145"/>
    <w:rsid w:val="003E3FB3"/>
    <w:rsid w:val="003E5D40"/>
    <w:rsid w:val="003F361F"/>
    <w:rsid w:val="004034E8"/>
    <w:rsid w:val="00403673"/>
    <w:rsid w:val="0040542C"/>
    <w:rsid w:val="00405C10"/>
    <w:rsid w:val="004115EE"/>
    <w:rsid w:val="00420270"/>
    <w:rsid w:val="00421BEC"/>
    <w:rsid w:val="00425557"/>
    <w:rsid w:val="00426B22"/>
    <w:rsid w:val="00427A3B"/>
    <w:rsid w:val="004301C7"/>
    <w:rsid w:val="00431BE4"/>
    <w:rsid w:val="0043206D"/>
    <w:rsid w:val="004339E5"/>
    <w:rsid w:val="00433E4B"/>
    <w:rsid w:val="004359CA"/>
    <w:rsid w:val="00451E8B"/>
    <w:rsid w:val="00453A8D"/>
    <w:rsid w:val="004574C4"/>
    <w:rsid w:val="004717B5"/>
    <w:rsid w:val="00487294"/>
    <w:rsid w:val="00492B58"/>
    <w:rsid w:val="00493F57"/>
    <w:rsid w:val="004B3793"/>
    <w:rsid w:val="004B3D92"/>
    <w:rsid w:val="004B6AF2"/>
    <w:rsid w:val="004D3EA8"/>
    <w:rsid w:val="004D7C31"/>
    <w:rsid w:val="004E115A"/>
    <w:rsid w:val="004E260F"/>
    <w:rsid w:val="004F0EE9"/>
    <w:rsid w:val="004F5625"/>
    <w:rsid w:val="004F6B09"/>
    <w:rsid w:val="004F7FC7"/>
    <w:rsid w:val="00500E8C"/>
    <w:rsid w:val="00502A60"/>
    <w:rsid w:val="005058E8"/>
    <w:rsid w:val="005158DF"/>
    <w:rsid w:val="00516185"/>
    <w:rsid w:val="005226DC"/>
    <w:rsid w:val="00522B96"/>
    <w:rsid w:val="00526309"/>
    <w:rsid w:val="00532FD9"/>
    <w:rsid w:val="005337ED"/>
    <w:rsid w:val="00536EC9"/>
    <w:rsid w:val="00537CC3"/>
    <w:rsid w:val="0054035D"/>
    <w:rsid w:val="00544296"/>
    <w:rsid w:val="00545037"/>
    <w:rsid w:val="00546745"/>
    <w:rsid w:val="00546F33"/>
    <w:rsid w:val="00547FE8"/>
    <w:rsid w:val="00551D20"/>
    <w:rsid w:val="005540EC"/>
    <w:rsid w:val="00554AF3"/>
    <w:rsid w:val="00554E59"/>
    <w:rsid w:val="00567BAB"/>
    <w:rsid w:val="005715BD"/>
    <w:rsid w:val="005767C9"/>
    <w:rsid w:val="005772C1"/>
    <w:rsid w:val="00580B79"/>
    <w:rsid w:val="00581D67"/>
    <w:rsid w:val="00581EF1"/>
    <w:rsid w:val="00590CC1"/>
    <w:rsid w:val="00590FC2"/>
    <w:rsid w:val="00593EFC"/>
    <w:rsid w:val="005A21E1"/>
    <w:rsid w:val="005A2B23"/>
    <w:rsid w:val="005A5E7B"/>
    <w:rsid w:val="005B2BF6"/>
    <w:rsid w:val="005B5C52"/>
    <w:rsid w:val="005C090D"/>
    <w:rsid w:val="005C5A71"/>
    <w:rsid w:val="005D0FEC"/>
    <w:rsid w:val="005D6BDE"/>
    <w:rsid w:val="005E18F8"/>
    <w:rsid w:val="005E2B75"/>
    <w:rsid w:val="005E4278"/>
    <w:rsid w:val="005E44E1"/>
    <w:rsid w:val="005E4EBB"/>
    <w:rsid w:val="005E5167"/>
    <w:rsid w:val="005E539A"/>
    <w:rsid w:val="005E77D3"/>
    <w:rsid w:val="005F0AA5"/>
    <w:rsid w:val="005F6450"/>
    <w:rsid w:val="005F6563"/>
    <w:rsid w:val="006015CF"/>
    <w:rsid w:val="0060227C"/>
    <w:rsid w:val="0060288A"/>
    <w:rsid w:val="00604016"/>
    <w:rsid w:val="006043CC"/>
    <w:rsid w:val="006210F9"/>
    <w:rsid w:val="00622A20"/>
    <w:rsid w:val="00623CFC"/>
    <w:rsid w:val="00626450"/>
    <w:rsid w:val="0063303B"/>
    <w:rsid w:val="006369D9"/>
    <w:rsid w:val="00644118"/>
    <w:rsid w:val="006443E5"/>
    <w:rsid w:val="00645CB1"/>
    <w:rsid w:val="006504C7"/>
    <w:rsid w:val="00650A04"/>
    <w:rsid w:val="0065227B"/>
    <w:rsid w:val="00656741"/>
    <w:rsid w:val="00656996"/>
    <w:rsid w:val="006700BF"/>
    <w:rsid w:val="006751E6"/>
    <w:rsid w:val="00677F88"/>
    <w:rsid w:val="006822C6"/>
    <w:rsid w:val="0068626A"/>
    <w:rsid w:val="00686927"/>
    <w:rsid w:val="00686DEA"/>
    <w:rsid w:val="00691AE1"/>
    <w:rsid w:val="00692AD2"/>
    <w:rsid w:val="006937DA"/>
    <w:rsid w:val="00693E37"/>
    <w:rsid w:val="00695B4A"/>
    <w:rsid w:val="00695B8A"/>
    <w:rsid w:val="00697192"/>
    <w:rsid w:val="00697C97"/>
    <w:rsid w:val="006A23D8"/>
    <w:rsid w:val="006A4222"/>
    <w:rsid w:val="006B27E7"/>
    <w:rsid w:val="006C0455"/>
    <w:rsid w:val="006C16DC"/>
    <w:rsid w:val="006C1F48"/>
    <w:rsid w:val="006D15AC"/>
    <w:rsid w:val="006D3C5B"/>
    <w:rsid w:val="006D5646"/>
    <w:rsid w:val="006E2CE4"/>
    <w:rsid w:val="006F020E"/>
    <w:rsid w:val="006F0C08"/>
    <w:rsid w:val="006F1633"/>
    <w:rsid w:val="006F1DEC"/>
    <w:rsid w:val="006F3DC7"/>
    <w:rsid w:val="006F45EE"/>
    <w:rsid w:val="006F4B76"/>
    <w:rsid w:val="006F57E4"/>
    <w:rsid w:val="007207C3"/>
    <w:rsid w:val="00724D16"/>
    <w:rsid w:val="00730422"/>
    <w:rsid w:val="00735BA4"/>
    <w:rsid w:val="00735D78"/>
    <w:rsid w:val="00736506"/>
    <w:rsid w:val="007421E0"/>
    <w:rsid w:val="00743B17"/>
    <w:rsid w:val="00744612"/>
    <w:rsid w:val="00751458"/>
    <w:rsid w:val="0075175B"/>
    <w:rsid w:val="0075264F"/>
    <w:rsid w:val="00752A9C"/>
    <w:rsid w:val="0075575A"/>
    <w:rsid w:val="007563B7"/>
    <w:rsid w:val="00757D53"/>
    <w:rsid w:val="00763038"/>
    <w:rsid w:val="00765784"/>
    <w:rsid w:val="00765A1A"/>
    <w:rsid w:val="00772643"/>
    <w:rsid w:val="0077325B"/>
    <w:rsid w:val="00775D7C"/>
    <w:rsid w:val="007764D6"/>
    <w:rsid w:val="00780B56"/>
    <w:rsid w:val="0078380D"/>
    <w:rsid w:val="00783A74"/>
    <w:rsid w:val="00785C8D"/>
    <w:rsid w:val="007873B1"/>
    <w:rsid w:val="007940B2"/>
    <w:rsid w:val="0079613A"/>
    <w:rsid w:val="00797D7E"/>
    <w:rsid w:val="007A27BE"/>
    <w:rsid w:val="007A6D61"/>
    <w:rsid w:val="007B44C1"/>
    <w:rsid w:val="007B7B33"/>
    <w:rsid w:val="007C2485"/>
    <w:rsid w:val="007D1A78"/>
    <w:rsid w:val="007E3E87"/>
    <w:rsid w:val="007E4ED8"/>
    <w:rsid w:val="007E71D2"/>
    <w:rsid w:val="007F1FA9"/>
    <w:rsid w:val="007F5026"/>
    <w:rsid w:val="007F5D54"/>
    <w:rsid w:val="007F761A"/>
    <w:rsid w:val="00804ACC"/>
    <w:rsid w:val="00805FEF"/>
    <w:rsid w:val="00807339"/>
    <w:rsid w:val="00810AB5"/>
    <w:rsid w:val="00811D3F"/>
    <w:rsid w:val="008124B5"/>
    <w:rsid w:val="00812C19"/>
    <w:rsid w:val="00815E6C"/>
    <w:rsid w:val="00820C7D"/>
    <w:rsid w:val="00820D1A"/>
    <w:rsid w:val="00822F1E"/>
    <w:rsid w:val="008278B6"/>
    <w:rsid w:val="00834302"/>
    <w:rsid w:val="00842672"/>
    <w:rsid w:val="008519AE"/>
    <w:rsid w:val="00855407"/>
    <w:rsid w:val="00862E54"/>
    <w:rsid w:val="008657D3"/>
    <w:rsid w:val="008850DC"/>
    <w:rsid w:val="00887A53"/>
    <w:rsid w:val="00891713"/>
    <w:rsid w:val="00895A5D"/>
    <w:rsid w:val="008A565E"/>
    <w:rsid w:val="008A5EAF"/>
    <w:rsid w:val="008B27C5"/>
    <w:rsid w:val="008C16C5"/>
    <w:rsid w:val="008C52C6"/>
    <w:rsid w:val="008C537F"/>
    <w:rsid w:val="008C5A79"/>
    <w:rsid w:val="008C5AA5"/>
    <w:rsid w:val="008C7DBA"/>
    <w:rsid w:val="008D04B1"/>
    <w:rsid w:val="008D05A8"/>
    <w:rsid w:val="008D46FB"/>
    <w:rsid w:val="008D655A"/>
    <w:rsid w:val="008D6ED1"/>
    <w:rsid w:val="008E5B38"/>
    <w:rsid w:val="008F0E32"/>
    <w:rsid w:val="00921C62"/>
    <w:rsid w:val="0092465E"/>
    <w:rsid w:val="00926EFB"/>
    <w:rsid w:val="00927978"/>
    <w:rsid w:val="009303D1"/>
    <w:rsid w:val="009314C0"/>
    <w:rsid w:val="00944389"/>
    <w:rsid w:val="00955639"/>
    <w:rsid w:val="00956EB5"/>
    <w:rsid w:val="00971054"/>
    <w:rsid w:val="0097212C"/>
    <w:rsid w:val="009741C4"/>
    <w:rsid w:val="0097762F"/>
    <w:rsid w:val="00977B7A"/>
    <w:rsid w:val="00977EAC"/>
    <w:rsid w:val="00980186"/>
    <w:rsid w:val="009804C9"/>
    <w:rsid w:val="00985874"/>
    <w:rsid w:val="00986131"/>
    <w:rsid w:val="00986B05"/>
    <w:rsid w:val="00990E4D"/>
    <w:rsid w:val="00991270"/>
    <w:rsid w:val="009923DD"/>
    <w:rsid w:val="00997774"/>
    <w:rsid w:val="009A3AB4"/>
    <w:rsid w:val="009A58A1"/>
    <w:rsid w:val="009B110D"/>
    <w:rsid w:val="009B4EC1"/>
    <w:rsid w:val="009B5E1A"/>
    <w:rsid w:val="009B6642"/>
    <w:rsid w:val="009B6939"/>
    <w:rsid w:val="009B6CE8"/>
    <w:rsid w:val="009D0342"/>
    <w:rsid w:val="009D22B8"/>
    <w:rsid w:val="009E0BD7"/>
    <w:rsid w:val="009E3EA3"/>
    <w:rsid w:val="009E4B3C"/>
    <w:rsid w:val="009E72A2"/>
    <w:rsid w:val="009F155C"/>
    <w:rsid w:val="009F2E4F"/>
    <w:rsid w:val="009F5ED6"/>
    <w:rsid w:val="009F5F6F"/>
    <w:rsid w:val="00A00CD0"/>
    <w:rsid w:val="00A020BE"/>
    <w:rsid w:val="00A0317C"/>
    <w:rsid w:val="00A101CB"/>
    <w:rsid w:val="00A10A41"/>
    <w:rsid w:val="00A11A14"/>
    <w:rsid w:val="00A13FEA"/>
    <w:rsid w:val="00A20838"/>
    <w:rsid w:val="00A20C69"/>
    <w:rsid w:val="00A216DA"/>
    <w:rsid w:val="00A23BAA"/>
    <w:rsid w:val="00A33F5E"/>
    <w:rsid w:val="00A3783E"/>
    <w:rsid w:val="00A424C6"/>
    <w:rsid w:val="00A46181"/>
    <w:rsid w:val="00A46355"/>
    <w:rsid w:val="00A4727D"/>
    <w:rsid w:val="00A54884"/>
    <w:rsid w:val="00A54EC4"/>
    <w:rsid w:val="00A611C9"/>
    <w:rsid w:val="00A61CCA"/>
    <w:rsid w:val="00A62FEC"/>
    <w:rsid w:val="00A63B9C"/>
    <w:rsid w:val="00A721CD"/>
    <w:rsid w:val="00A749E5"/>
    <w:rsid w:val="00A77B5D"/>
    <w:rsid w:val="00A8052A"/>
    <w:rsid w:val="00A82A8A"/>
    <w:rsid w:val="00A86E71"/>
    <w:rsid w:val="00A8768E"/>
    <w:rsid w:val="00A87DFD"/>
    <w:rsid w:val="00A904F3"/>
    <w:rsid w:val="00A90B02"/>
    <w:rsid w:val="00A9391C"/>
    <w:rsid w:val="00AB4F71"/>
    <w:rsid w:val="00AB5D9F"/>
    <w:rsid w:val="00AB67ED"/>
    <w:rsid w:val="00AC63E6"/>
    <w:rsid w:val="00AD5D7B"/>
    <w:rsid w:val="00AD6A88"/>
    <w:rsid w:val="00AE0C3E"/>
    <w:rsid w:val="00AE1636"/>
    <w:rsid w:val="00AE3811"/>
    <w:rsid w:val="00B05D7A"/>
    <w:rsid w:val="00B14F1C"/>
    <w:rsid w:val="00B15D15"/>
    <w:rsid w:val="00B16B1C"/>
    <w:rsid w:val="00B27BDC"/>
    <w:rsid w:val="00B27D7A"/>
    <w:rsid w:val="00B31C97"/>
    <w:rsid w:val="00B342F8"/>
    <w:rsid w:val="00B368E3"/>
    <w:rsid w:val="00B42496"/>
    <w:rsid w:val="00B460C5"/>
    <w:rsid w:val="00B5127B"/>
    <w:rsid w:val="00B5154B"/>
    <w:rsid w:val="00B51711"/>
    <w:rsid w:val="00B519D6"/>
    <w:rsid w:val="00B52CEB"/>
    <w:rsid w:val="00B578F9"/>
    <w:rsid w:val="00B60880"/>
    <w:rsid w:val="00B65BF7"/>
    <w:rsid w:val="00B8687A"/>
    <w:rsid w:val="00B90016"/>
    <w:rsid w:val="00B904E2"/>
    <w:rsid w:val="00B93BAC"/>
    <w:rsid w:val="00B946A3"/>
    <w:rsid w:val="00B963A7"/>
    <w:rsid w:val="00BA1596"/>
    <w:rsid w:val="00BA5FE8"/>
    <w:rsid w:val="00BA6061"/>
    <w:rsid w:val="00BA678E"/>
    <w:rsid w:val="00BB0159"/>
    <w:rsid w:val="00BB0F0A"/>
    <w:rsid w:val="00BB1583"/>
    <w:rsid w:val="00BB1820"/>
    <w:rsid w:val="00BB1A2E"/>
    <w:rsid w:val="00BB2944"/>
    <w:rsid w:val="00BB50CE"/>
    <w:rsid w:val="00BC2116"/>
    <w:rsid w:val="00BC4CB5"/>
    <w:rsid w:val="00BC6C3B"/>
    <w:rsid w:val="00BD7D9C"/>
    <w:rsid w:val="00BE1AFC"/>
    <w:rsid w:val="00BE2CDC"/>
    <w:rsid w:val="00BE5916"/>
    <w:rsid w:val="00BE76CB"/>
    <w:rsid w:val="00BF204F"/>
    <w:rsid w:val="00BF3881"/>
    <w:rsid w:val="00BF5DB4"/>
    <w:rsid w:val="00BF6C00"/>
    <w:rsid w:val="00C07B22"/>
    <w:rsid w:val="00C13520"/>
    <w:rsid w:val="00C225CC"/>
    <w:rsid w:val="00C22C60"/>
    <w:rsid w:val="00C2445C"/>
    <w:rsid w:val="00C27A6E"/>
    <w:rsid w:val="00C32F60"/>
    <w:rsid w:val="00C344E9"/>
    <w:rsid w:val="00C3729E"/>
    <w:rsid w:val="00C45570"/>
    <w:rsid w:val="00C51CFF"/>
    <w:rsid w:val="00C56095"/>
    <w:rsid w:val="00C5738C"/>
    <w:rsid w:val="00C5755E"/>
    <w:rsid w:val="00C64F75"/>
    <w:rsid w:val="00C70224"/>
    <w:rsid w:val="00C7030D"/>
    <w:rsid w:val="00C75427"/>
    <w:rsid w:val="00C77295"/>
    <w:rsid w:val="00C80458"/>
    <w:rsid w:val="00C805D8"/>
    <w:rsid w:val="00C93853"/>
    <w:rsid w:val="00C96B86"/>
    <w:rsid w:val="00C97C85"/>
    <w:rsid w:val="00CB21F4"/>
    <w:rsid w:val="00CB246C"/>
    <w:rsid w:val="00CB645C"/>
    <w:rsid w:val="00CC19DE"/>
    <w:rsid w:val="00CC221E"/>
    <w:rsid w:val="00CC2C40"/>
    <w:rsid w:val="00CC533B"/>
    <w:rsid w:val="00CC56A9"/>
    <w:rsid w:val="00CD6AB8"/>
    <w:rsid w:val="00CD72CC"/>
    <w:rsid w:val="00CE5AEC"/>
    <w:rsid w:val="00CE7C37"/>
    <w:rsid w:val="00D02153"/>
    <w:rsid w:val="00D0267B"/>
    <w:rsid w:val="00D0537B"/>
    <w:rsid w:val="00D141B6"/>
    <w:rsid w:val="00D15C24"/>
    <w:rsid w:val="00D174E3"/>
    <w:rsid w:val="00D2707A"/>
    <w:rsid w:val="00D27A74"/>
    <w:rsid w:val="00D27E7D"/>
    <w:rsid w:val="00D31CB8"/>
    <w:rsid w:val="00D348AF"/>
    <w:rsid w:val="00D34DD4"/>
    <w:rsid w:val="00D4391A"/>
    <w:rsid w:val="00D4657D"/>
    <w:rsid w:val="00D46BAB"/>
    <w:rsid w:val="00D5173C"/>
    <w:rsid w:val="00D5448D"/>
    <w:rsid w:val="00D55196"/>
    <w:rsid w:val="00D55515"/>
    <w:rsid w:val="00D564A5"/>
    <w:rsid w:val="00D56FD6"/>
    <w:rsid w:val="00D71C09"/>
    <w:rsid w:val="00D90A19"/>
    <w:rsid w:val="00D94C3F"/>
    <w:rsid w:val="00D950CC"/>
    <w:rsid w:val="00D95B6F"/>
    <w:rsid w:val="00DA2831"/>
    <w:rsid w:val="00DA3FAD"/>
    <w:rsid w:val="00DA5E4D"/>
    <w:rsid w:val="00DA7DD1"/>
    <w:rsid w:val="00DB33FD"/>
    <w:rsid w:val="00DB3727"/>
    <w:rsid w:val="00DC2D4E"/>
    <w:rsid w:val="00DE0FBE"/>
    <w:rsid w:val="00DE532F"/>
    <w:rsid w:val="00DE6900"/>
    <w:rsid w:val="00DF790E"/>
    <w:rsid w:val="00E0001B"/>
    <w:rsid w:val="00E004EA"/>
    <w:rsid w:val="00E00A71"/>
    <w:rsid w:val="00E018CD"/>
    <w:rsid w:val="00E12CBB"/>
    <w:rsid w:val="00E130FB"/>
    <w:rsid w:val="00E204A9"/>
    <w:rsid w:val="00E213F0"/>
    <w:rsid w:val="00E32182"/>
    <w:rsid w:val="00E35339"/>
    <w:rsid w:val="00E3771D"/>
    <w:rsid w:val="00E40528"/>
    <w:rsid w:val="00E427A3"/>
    <w:rsid w:val="00E44F5F"/>
    <w:rsid w:val="00E54067"/>
    <w:rsid w:val="00E54BE1"/>
    <w:rsid w:val="00E55DD9"/>
    <w:rsid w:val="00E55F0B"/>
    <w:rsid w:val="00E6008C"/>
    <w:rsid w:val="00E62EC6"/>
    <w:rsid w:val="00E63170"/>
    <w:rsid w:val="00E638C9"/>
    <w:rsid w:val="00E719E8"/>
    <w:rsid w:val="00E81AF4"/>
    <w:rsid w:val="00E81B22"/>
    <w:rsid w:val="00E840A1"/>
    <w:rsid w:val="00E86030"/>
    <w:rsid w:val="00E974FF"/>
    <w:rsid w:val="00EA3B4B"/>
    <w:rsid w:val="00EA489E"/>
    <w:rsid w:val="00EA4A2B"/>
    <w:rsid w:val="00EB08E3"/>
    <w:rsid w:val="00EB54E6"/>
    <w:rsid w:val="00EB5A6C"/>
    <w:rsid w:val="00EB6155"/>
    <w:rsid w:val="00ED07D3"/>
    <w:rsid w:val="00ED0A36"/>
    <w:rsid w:val="00ED1E58"/>
    <w:rsid w:val="00ED282C"/>
    <w:rsid w:val="00ED4698"/>
    <w:rsid w:val="00EE63E4"/>
    <w:rsid w:val="00EE6907"/>
    <w:rsid w:val="00EF11DC"/>
    <w:rsid w:val="00EF4309"/>
    <w:rsid w:val="00EF4A58"/>
    <w:rsid w:val="00EF6E4D"/>
    <w:rsid w:val="00F00D7D"/>
    <w:rsid w:val="00F05908"/>
    <w:rsid w:val="00F05B24"/>
    <w:rsid w:val="00F13247"/>
    <w:rsid w:val="00F21D2F"/>
    <w:rsid w:val="00F227A9"/>
    <w:rsid w:val="00F22EBD"/>
    <w:rsid w:val="00F248F5"/>
    <w:rsid w:val="00F300E0"/>
    <w:rsid w:val="00F30A44"/>
    <w:rsid w:val="00F30B4A"/>
    <w:rsid w:val="00F31AEB"/>
    <w:rsid w:val="00F31D92"/>
    <w:rsid w:val="00F3261E"/>
    <w:rsid w:val="00F36C91"/>
    <w:rsid w:val="00F44014"/>
    <w:rsid w:val="00F46FD9"/>
    <w:rsid w:val="00F56F4A"/>
    <w:rsid w:val="00F57C9F"/>
    <w:rsid w:val="00F642A6"/>
    <w:rsid w:val="00F64375"/>
    <w:rsid w:val="00F67F9D"/>
    <w:rsid w:val="00F712D4"/>
    <w:rsid w:val="00F73038"/>
    <w:rsid w:val="00F75381"/>
    <w:rsid w:val="00F75B0E"/>
    <w:rsid w:val="00F75E5E"/>
    <w:rsid w:val="00F776C3"/>
    <w:rsid w:val="00F80080"/>
    <w:rsid w:val="00F8178B"/>
    <w:rsid w:val="00F83ECE"/>
    <w:rsid w:val="00F8434C"/>
    <w:rsid w:val="00F85996"/>
    <w:rsid w:val="00F86121"/>
    <w:rsid w:val="00F9259E"/>
    <w:rsid w:val="00F929B8"/>
    <w:rsid w:val="00F95041"/>
    <w:rsid w:val="00F96B1C"/>
    <w:rsid w:val="00FA1626"/>
    <w:rsid w:val="00FA797E"/>
    <w:rsid w:val="00FB0A24"/>
    <w:rsid w:val="00FB1F13"/>
    <w:rsid w:val="00FB3C59"/>
    <w:rsid w:val="00FC0B8D"/>
    <w:rsid w:val="00FC0BC4"/>
    <w:rsid w:val="00FC0C35"/>
    <w:rsid w:val="00FC556C"/>
    <w:rsid w:val="00FC6100"/>
    <w:rsid w:val="00FC69AA"/>
    <w:rsid w:val="00FD3F4A"/>
    <w:rsid w:val="00FE0424"/>
    <w:rsid w:val="00FE6467"/>
    <w:rsid w:val="00FF6071"/>
    <w:rsid w:val="00FF6DD3"/>
    <w:rsid w:val="00FF7158"/>
    <w:rsid w:val="00FF7D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A35757F"/>
  <w15:docId w15:val="{87C9FD1A-72C9-4D56-A0B0-43E69868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52A"/>
    <w:pPr>
      <w:spacing w:after="0" w:line="240" w:lineRule="auto"/>
    </w:pPr>
    <w:rPr>
      <w:rFonts w:eastAsiaTheme="minorEastAsia"/>
      <w:sz w:val="24"/>
      <w:szCs w:val="24"/>
      <w:lang w:val="en-US"/>
    </w:rPr>
  </w:style>
  <w:style w:type="paragraph" w:styleId="Heading2">
    <w:name w:val="heading 2"/>
    <w:basedOn w:val="Normal"/>
    <w:next w:val="Normal"/>
    <w:link w:val="Heading2Char"/>
    <w:uiPriority w:val="9"/>
    <w:unhideWhenUsed/>
    <w:qFormat/>
    <w:rsid w:val="004B6A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B6A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52A"/>
    <w:pPr>
      <w:ind w:left="720"/>
      <w:contextualSpacing/>
    </w:pPr>
  </w:style>
  <w:style w:type="paragraph" w:customStyle="1" w:styleId="EndNoteBibliographyTitle">
    <w:name w:val="EndNote Bibliography Title"/>
    <w:basedOn w:val="Normal"/>
    <w:link w:val="EndNoteBibliographyTitleChar"/>
    <w:rsid w:val="00116F1E"/>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16F1E"/>
    <w:rPr>
      <w:rFonts w:ascii="Calibri" w:eastAsiaTheme="minorEastAsia" w:hAnsi="Calibri" w:cs="Calibri"/>
      <w:noProof/>
      <w:sz w:val="24"/>
      <w:szCs w:val="24"/>
      <w:lang w:val="en-US"/>
    </w:rPr>
  </w:style>
  <w:style w:type="paragraph" w:customStyle="1" w:styleId="EndNoteBibliography">
    <w:name w:val="EndNote Bibliography"/>
    <w:basedOn w:val="Normal"/>
    <w:link w:val="EndNoteBibliographyChar"/>
    <w:rsid w:val="00116F1E"/>
    <w:rPr>
      <w:rFonts w:ascii="Calibri" w:hAnsi="Calibri" w:cs="Calibri"/>
      <w:noProof/>
    </w:rPr>
  </w:style>
  <w:style w:type="character" w:customStyle="1" w:styleId="EndNoteBibliographyChar">
    <w:name w:val="EndNote Bibliography Char"/>
    <w:basedOn w:val="DefaultParagraphFont"/>
    <w:link w:val="EndNoteBibliography"/>
    <w:rsid w:val="00116F1E"/>
    <w:rPr>
      <w:rFonts w:ascii="Calibri" w:eastAsiaTheme="minorEastAsia" w:hAnsi="Calibri" w:cs="Calibri"/>
      <w:noProof/>
      <w:sz w:val="24"/>
      <w:szCs w:val="24"/>
      <w:lang w:val="en-US"/>
    </w:rPr>
  </w:style>
  <w:style w:type="character" w:styleId="Hyperlink">
    <w:name w:val="Hyperlink"/>
    <w:basedOn w:val="DefaultParagraphFont"/>
    <w:uiPriority w:val="99"/>
    <w:unhideWhenUsed/>
    <w:rsid w:val="00116F1E"/>
    <w:rPr>
      <w:color w:val="0000FF" w:themeColor="hyperlink"/>
      <w:u w:val="single"/>
    </w:rPr>
  </w:style>
  <w:style w:type="character" w:styleId="CommentReference">
    <w:name w:val="annotation reference"/>
    <w:basedOn w:val="DefaultParagraphFont"/>
    <w:uiPriority w:val="99"/>
    <w:semiHidden/>
    <w:unhideWhenUsed/>
    <w:rsid w:val="00364768"/>
    <w:rPr>
      <w:sz w:val="16"/>
      <w:szCs w:val="16"/>
    </w:rPr>
  </w:style>
  <w:style w:type="paragraph" w:styleId="CommentText">
    <w:name w:val="annotation text"/>
    <w:basedOn w:val="Normal"/>
    <w:link w:val="CommentTextChar"/>
    <w:uiPriority w:val="99"/>
    <w:semiHidden/>
    <w:unhideWhenUsed/>
    <w:rsid w:val="00364768"/>
    <w:rPr>
      <w:sz w:val="20"/>
      <w:szCs w:val="20"/>
    </w:rPr>
  </w:style>
  <w:style w:type="character" w:customStyle="1" w:styleId="CommentTextChar">
    <w:name w:val="Comment Text Char"/>
    <w:basedOn w:val="DefaultParagraphFont"/>
    <w:link w:val="CommentText"/>
    <w:uiPriority w:val="99"/>
    <w:semiHidden/>
    <w:rsid w:val="00364768"/>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364768"/>
    <w:rPr>
      <w:b/>
      <w:bCs/>
    </w:rPr>
  </w:style>
  <w:style w:type="character" w:customStyle="1" w:styleId="CommentSubjectChar">
    <w:name w:val="Comment Subject Char"/>
    <w:basedOn w:val="CommentTextChar"/>
    <w:link w:val="CommentSubject"/>
    <w:uiPriority w:val="99"/>
    <w:semiHidden/>
    <w:rsid w:val="00364768"/>
    <w:rPr>
      <w:rFonts w:eastAsiaTheme="minorEastAsia"/>
      <w:b/>
      <w:bCs/>
      <w:sz w:val="20"/>
      <w:szCs w:val="20"/>
      <w:lang w:val="en-US"/>
    </w:rPr>
  </w:style>
  <w:style w:type="paragraph" w:styleId="BalloonText">
    <w:name w:val="Balloon Text"/>
    <w:basedOn w:val="Normal"/>
    <w:link w:val="BalloonTextChar"/>
    <w:uiPriority w:val="99"/>
    <w:semiHidden/>
    <w:unhideWhenUsed/>
    <w:rsid w:val="00364768"/>
    <w:rPr>
      <w:rFonts w:ascii="Tahoma" w:hAnsi="Tahoma" w:cs="Tahoma"/>
      <w:sz w:val="16"/>
      <w:szCs w:val="16"/>
    </w:rPr>
  </w:style>
  <w:style w:type="character" w:customStyle="1" w:styleId="BalloonTextChar">
    <w:name w:val="Balloon Text Char"/>
    <w:basedOn w:val="DefaultParagraphFont"/>
    <w:link w:val="BalloonText"/>
    <w:uiPriority w:val="99"/>
    <w:semiHidden/>
    <w:rsid w:val="00364768"/>
    <w:rPr>
      <w:rFonts w:ascii="Tahoma" w:eastAsiaTheme="minorEastAsia" w:hAnsi="Tahoma" w:cs="Tahoma"/>
      <w:sz w:val="16"/>
      <w:szCs w:val="16"/>
      <w:lang w:val="en-US"/>
    </w:rPr>
  </w:style>
  <w:style w:type="table" w:styleId="TableGrid">
    <w:name w:val="Table Grid"/>
    <w:basedOn w:val="TableNormal"/>
    <w:uiPriority w:val="59"/>
    <w:rsid w:val="00A10A41"/>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A4D08"/>
    <w:pPr>
      <w:tabs>
        <w:tab w:val="center" w:pos="4513"/>
        <w:tab w:val="right" w:pos="9026"/>
      </w:tabs>
    </w:pPr>
  </w:style>
  <w:style w:type="character" w:customStyle="1" w:styleId="HeaderChar">
    <w:name w:val="Header Char"/>
    <w:basedOn w:val="DefaultParagraphFont"/>
    <w:link w:val="Header"/>
    <w:uiPriority w:val="99"/>
    <w:semiHidden/>
    <w:rsid w:val="003A4D08"/>
    <w:rPr>
      <w:rFonts w:eastAsiaTheme="minorEastAsia"/>
      <w:sz w:val="24"/>
      <w:szCs w:val="24"/>
      <w:lang w:val="en-US"/>
    </w:rPr>
  </w:style>
  <w:style w:type="paragraph" w:styleId="Footer">
    <w:name w:val="footer"/>
    <w:basedOn w:val="Normal"/>
    <w:link w:val="FooterChar"/>
    <w:uiPriority w:val="99"/>
    <w:unhideWhenUsed/>
    <w:rsid w:val="003A4D08"/>
    <w:pPr>
      <w:tabs>
        <w:tab w:val="center" w:pos="4513"/>
        <w:tab w:val="right" w:pos="9026"/>
      </w:tabs>
    </w:pPr>
  </w:style>
  <w:style w:type="character" w:customStyle="1" w:styleId="FooterChar">
    <w:name w:val="Footer Char"/>
    <w:basedOn w:val="DefaultParagraphFont"/>
    <w:link w:val="Footer"/>
    <w:uiPriority w:val="99"/>
    <w:rsid w:val="003A4D08"/>
    <w:rPr>
      <w:rFonts w:eastAsiaTheme="minorEastAsia"/>
      <w:sz w:val="24"/>
      <w:szCs w:val="24"/>
      <w:lang w:val="en-US"/>
    </w:rPr>
  </w:style>
  <w:style w:type="paragraph" w:styleId="Subtitle">
    <w:name w:val="Subtitle"/>
    <w:basedOn w:val="Normal"/>
    <w:next w:val="Normal"/>
    <w:link w:val="SubtitleChar"/>
    <w:uiPriority w:val="11"/>
    <w:qFormat/>
    <w:rsid w:val="004B6AF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B6AF2"/>
    <w:rPr>
      <w:rFonts w:asciiTheme="majorHAnsi" w:eastAsiaTheme="majorEastAsia" w:hAnsiTheme="majorHAnsi" w:cstheme="majorBidi"/>
      <w:i/>
      <w:iCs/>
      <w:color w:val="4F81BD" w:themeColor="accent1"/>
      <w:spacing w:val="15"/>
      <w:sz w:val="24"/>
      <w:szCs w:val="24"/>
      <w:lang w:val="en-US"/>
    </w:rPr>
  </w:style>
  <w:style w:type="character" w:customStyle="1" w:styleId="Heading2Char">
    <w:name w:val="Heading 2 Char"/>
    <w:basedOn w:val="DefaultParagraphFont"/>
    <w:link w:val="Heading2"/>
    <w:uiPriority w:val="9"/>
    <w:rsid w:val="004B6AF2"/>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4B6AF2"/>
    <w:rPr>
      <w:rFonts w:asciiTheme="majorHAnsi" w:eastAsiaTheme="majorEastAsia" w:hAnsiTheme="majorHAnsi" w:cstheme="majorBidi"/>
      <w:b/>
      <w:bCs/>
      <w:color w:val="4F81BD" w:themeColor="accent1"/>
      <w:sz w:val="24"/>
      <w:szCs w:val="24"/>
      <w:lang w:val="en-US"/>
    </w:rPr>
  </w:style>
  <w:style w:type="paragraph" w:styleId="Revision">
    <w:name w:val="Revision"/>
    <w:hidden/>
    <w:uiPriority w:val="99"/>
    <w:semiHidden/>
    <w:rsid w:val="00CC221E"/>
    <w:pPr>
      <w:spacing w:after="0" w:line="240" w:lineRule="auto"/>
    </w:pPr>
    <w:rPr>
      <w:rFonts w:eastAsiaTheme="minorEastAsia"/>
      <w:sz w:val="24"/>
      <w:szCs w:val="24"/>
      <w:lang w:val="en-US"/>
    </w:rPr>
  </w:style>
  <w:style w:type="character" w:styleId="FollowedHyperlink">
    <w:name w:val="FollowedHyperlink"/>
    <w:basedOn w:val="DefaultParagraphFont"/>
    <w:uiPriority w:val="99"/>
    <w:semiHidden/>
    <w:unhideWhenUsed/>
    <w:rsid w:val="00EA3B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0802">
      <w:bodyDiv w:val="1"/>
      <w:marLeft w:val="0"/>
      <w:marRight w:val="0"/>
      <w:marTop w:val="0"/>
      <w:marBottom w:val="0"/>
      <w:divBdr>
        <w:top w:val="none" w:sz="0" w:space="0" w:color="auto"/>
        <w:left w:val="none" w:sz="0" w:space="0" w:color="auto"/>
        <w:bottom w:val="none" w:sz="0" w:space="0" w:color="auto"/>
        <w:right w:val="none" w:sz="0" w:space="0" w:color="auto"/>
      </w:divBdr>
    </w:div>
    <w:div w:id="478153552">
      <w:bodyDiv w:val="1"/>
      <w:marLeft w:val="0"/>
      <w:marRight w:val="0"/>
      <w:marTop w:val="0"/>
      <w:marBottom w:val="0"/>
      <w:divBdr>
        <w:top w:val="none" w:sz="0" w:space="0" w:color="auto"/>
        <w:left w:val="none" w:sz="0" w:space="0" w:color="auto"/>
        <w:bottom w:val="none" w:sz="0" w:space="0" w:color="auto"/>
        <w:right w:val="none" w:sz="0" w:space="0" w:color="auto"/>
      </w:divBdr>
    </w:div>
    <w:div w:id="849755070">
      <w:bodyDiv w:val="1"/>
      <w:marLeft w:val="0"/>
      <w:marRight w:val="0"/>
      <w:marTop w:val="0"/>
      <w:marBottom w:val="0"/>
      <w:divBdr>
        <w:top w:val="none" w:sz="0" w:space="0" w:color="auto"/>
        <w:left w:val="none" w:sz="0" w:space="0" w:color="auto"/>
        <w:bottom w:val="none" w:sz="0" w:space="0" w:color="auto"/>
        <w:right w:val="none" w:sz="0" w:space="0" w:color="auto"/>
      </w:divBdr>
      <w:divsChild>
        <w:div w:id="1109860351">
          <w:marLeft w:val="590"/>
          <w:marRight w:val="0"/>
          <w:marTop w:val="0"/>
          <w:marBottom w:val="0"/>
          <w:divBdr>
            <w:top w:val="none" w:sz="0" w:space="0" w:color="auto"/>
            <w:left w:val="none" w:sz="0" w:space="0" w:color="auto"/>
            <w:bottom w:val="none" w:sz="0" w:space="0" w:color="auto"/>
            <w:right w:val="none" w:sz="0" w:space="0" w:color="auto"/>
          </w:divBdr>
        </w:div>
        <w:div w:id="1754665199">
          <w:marLeft w:val="590"/>
          <w:marRight w:val="0"/>
          <w:marTop w:val="0"/>
          <w:marBottom w:val="0"/>
          <w:divBdr>
            <w:top w:val="none" w:sz="0" w:space="0" w:color="auto"/>
            <w:left w:val="none" w:sz="0" w:space="0" w:color="auto"/>
            <w:bottom w:val="none" w:sz="0" w:space="0" w:color="auto"/>
            <w:right w:val="none" w:sz="0" w:space="0" w:color="auto"/>
          </w:divBdr>
        </w:div>
      </w:divsChild>
    </w:div>
    <w:div w:id="857500132">
      <w:bodyDiv w:val="1"/>
      <w:marLeft w:val="0"/>
      <w:marRight w:val="0"/>
      <w:marTop w:val="0"/>
      <w:marBottom w:val="0"/>
      <w:divBdr>
        <w:top w:val="none" w:sz="0" w:space="0" w:color="auto"/>
        <w:left w:val="none" w:sz="0" w:space="0" w:color="auto"/>
        <w:bottom w:val="none" w:sz="0" w:space="0" w:color="auto"/>
        <w:right w:val="none" w:sz="0" w:space="0" w:color="auto"/>
      </w:divBdr>
      <w:divsChild>
        <w:div w:id="1738284391">
          <w:marLeft w:val="590"/>
          <w:marRight w:val="0"/>
          <w:marTop w:val="0"/>
          <w:marBottom w:val="0"/>
          <w:divBdr>
            <w:top w:val="none" w:sz="0" w:space="0" w:color="auto"/>
            <w:left w:val="none" w:sz="0" w:space="0" w:color="auto"/>
            <w:bottom w:val="none" w:sz="0" w:space="0" w:color="auto"/>
            <w:right w:val="none" w:sz="0" w:space="0" w:color="auto"/>
          </w:divBdr>
        </w:div>
        <w:div w:id="131019362">
          <w:marLeft w:val="590"/>
          <w:marRight w:val="0"/>
          <w:marTop w:val="0"/>
          <w:marBottom w:val="0"/>
          <w:divBdr>
            <w:top w:val="none" w:sz="0" w:space="0" w:color="auto"/>
            <w:left w:val="none" w:sz="0" w:space="0" w:color="auto"/>
            <w:bottom w:val="none" w:sz="0" w:space="0" w:color="auto"/>
            <w:right w:val="none" w:sz="0" w:space="0" w:color="auto"/>
          </w:divBdr>
        </w:div>
        <w:div w:id="1897037204">
          <w:marLeft w:val="590"/>
          <w:marRight w:val="0"/>
          <w:marTop w:val="0"/>
          <w:marBottom w:val="0"/>
          <w:divBdr>
            <w:top w:val="none" w:sz="0" w:space="0" w:color="auto"/>
            <w:left w:val="none" w:sz="0" w:space="0" w:color="auto"/>
            <w:bottom w:val="none" w:sz="0" w:space="0" w:color="auto"/>
            <w:right w:val="none" w:sz="0" w:space="0" w:color="auto"/>
          </w:divBdr>
        </w:div>
      </w:divsChild>
    </w:div>
    <w:div w:id="1034308178">
      <w:bodyDiv w:val="1"/>
      <w:marLeft w:val="54"/>
      <w:marRight w:val="54"/>
      <w:marTop w:val="54"/>
      <w:marBottom w:val="14"/>
      <w:divBdr>
        <w:top w:val="none" w:sz="0" w:space="0" w:color="auto"/>
        <w:left w:val="none" w:sz="0" w:space="0" w:color="auto"/>
        <w:bottom w:val="none" w:sz="0" w:space="0" w:color="auto"/>
        <w:right w:val="none" w:sz="0" w:space="0" w:color="auto"/>
      </w:divBdr>
    </w:div>
    <w:div w:id="1120688752">
      <w:bodyDiv w:val="1"/>
      <w:marLeft w:val="0"/>
      <w:marRight w:val="0"/>
      <w:marTop w:val="0"/>
      <w:marBottom w:val="0"/>
      <w:divBdr>
        <w:top w:val="none" w:sz="0" w:space="0" w:color="auto"/>
        <w:left w:val="none" w:sz="0" w:space="0" w:color="auto"/>
        <w:bottom w:val="none" w:sz="0" w:space="0" w:color="auto"/>
        <w:right w:val="none" w:sz="0" w:space="0" w:color="auto"/>
      </w:divBdr>
      <w:divsChild>
        <w:div w:id="880439513">
          <w:marLeft w:val="547"/>
          <w:marRight w:val="0"/>
          <w:marTop w:val="240"/>
          <w:marBottom w:val="0"/>
          <w:divBdr>
            <w:top w:val="none" w:sz="0" w:space="0" w:color="auto"/>
            <w:left w:val="none" w:sz="0" w:space="0" w:color="auto"/>
            <w:bottom w:val="none" w:sz="0" w:space="0" w:color="auto"/>
            <w:right w:val="none" w:sz="0" w:space="0" w:color="auto"/>
          </w:divBdr>
        </w:div>
        <w:div w:id="1578319393">
          <w:marLeft w:val="547"/>
          <w:marRight w:val="0"/>
          <w:marTop w:val="240"/>
          <w:marBottom w:val="0"/>
          <w:divBdr>
            <w:top w:val="none" w:sz="0" w:space="0" w:color="auto"/>
            <w:left w:val="none" w:sz="0" w:space="0" w:color="auto"/>
            <w:bottom w:val="none" w:sz="0" w:space="0" w:color="auto"/>
            <w:right w:val="none" w:sz="0" w:space="0" w:color="auto"/>
          </w:divBdr>
        </w:div>
        <w:div w:id="2056737944">
          <w:marLeft w:val="547"/>
          <w:marRight w:val="0"/>
          <w:marTop w:val="240"/>
          <w:marBottom w:val="0"/>
          <w:divBdr>
            <w:top w:val="none" w:sz="0" w:space="0" w:color="auto"/>
            <w:left w:val="none" w:sz="0" w:space="0" w:color="auto"/>
            <w:bottom w:val="none" w:sz="0" w:space="0" w:color="auto"/>
            <w:right w:val="none" w:sz="0" w:space="0" w:color="auto"/>
          </w:divBdr>
        </w:div>
        <w:div w:id="906575279">
          <w:marLeft w:val="547"/>
          <w:marRight w:val="0"/>
          <w:marTop w:val="240"/>
          <w:marBottom w:val="0"/>
          <w:divBdr>
            <w:top w:val="none" w:sz="0" w:space="0" w:color="auto"/>
            <w:left w:val="none" w:sz="0" w:space="0" w:color="auto"/>
            <w:bottom w:val="none" w:sz="0" w:space="0" w:color="auto"/>
            <w:right w:val="none" w:sz="0" w:space="0" w:color="auto"/>
          </w:divBdr>
        </w:div>
        <w:div w:id="83114627">
          <w:marLeft w:val="547"/>
          <w:marRight w:val="0"/>
          <w:marTop w:val="240"/>
          <w:marBottom w:val="0"/>
          <w:divBdr>
            <w:top w:val="none" w:sz="0" w:space="0" w:color="auto"/>
            <w:left w:val="none" w:sz="0" w:space="0" w:color="auto"/>
            <w:bottom w:val="none" w:sz="0" w:space="0" w:color="auto"/>
            <w:right w:val="none" w:sz="0" w:space="0" w:color="auto"/>
          </w:divBdr>
        </w:div>
      </w:divsChild>
    </w:div>
    <w:div w:id="1230462799">
      <w:bodyDiv w:val="1"/>
      <w:marLeft w:val="0"/>
      <w:marRight w:val="0"/>
      <w:marTop w:val="0"/>
      <w:marBottom w:val="0"/>
      <w:divBdr>
        <w:top w:val="none" w:sz="0" w:space="0" w:color="auto"/>
        <w:left w:val="none" w:sz="0" w:space="0" w:color="auto"/>
        <w:bottom w:val="none" w:sz="0" w:space="0" w:color="auto"/>
        <w:right w:val="none" w:sz="0" w:space="0" w:color="auto"/>
      </w:divBdr>
      <w:divsChild>
        <w:div w:id="1207722877">
          <w:marLeft w:val="590"/>
          <w:marRight w:val="0"/>
          <w:marTop w:val="0"/>
          <w:marBottom w:val="0"/>
          <w:divBdr>
            <w:top w:val="none" w:sz="0" w:space="0" w:color="auto"/>
            <w:left w:val="none" w:sz="0" w:space="0" w:color="auto"/>
            <w:bottom w:val="none" w:sz="0" w:space="0" w:color="auto"/>
            <w:right w:val="none" w:sz="0" w:space="0" w:color="auto"/>
          </w:divBdr>
        </w:div>
        <w:div w:id="298800464">
          <w:marLeft w:val="590"/>
          <w:marRight w:val="0"/>
          <w:marTop w:val="0"/>
          <w:marBottom w:val="0"/>
          <w:divBdr>
            <w:top w:val="none" w:sz="0" w:space="0" w:color="auto"/>
            <w:left w:val="none" w:sz="0" w:space="0" w:color="auto"/>
            <w:bottom w:val="none" w:sz="0" w:space="0" w:color="auto"/>
            <w:right w:val="none" w:sz="0" w:space="0" w:color="auto"/>
          </w:divBdr>
        </w:div>
        <w:div w:id="946930039">
          <w:marLeft w:val="590"/>
          <w:marRight w:val="0"/>
          <w:marTop w:val="0"/>
          <w:marBottom w:val="0"/>
          <w:divBdr>
            <w:top w:val="none" w:sz="0" w:space="0" w:color="auto"/>
            <w:left w:val="none" w:sz="0" w:space="0" w:color="auto"/>
            <w:bottom w:val="none" w:sz="0" w:space="0" w:color="auto"/>
            <w:right w:val="none" w:sz="0" w:space="0" w:color="auto"/>
          </w:divBdr>
        </w:div>
      </w:divsChild>
    </w:div>
    <w:div w:id="189766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employers.org/PayAndContracts/GeneralMedicalServicesContract/GMSContractChanges/Pages/Contractchanges201415.aspx" TargetMode="External"/><Relationship Id="rId13" Type="http://schemas.openxmlformats.org/officeDocument/2006/relationships/hyperlink" Target="http://www.pulsetoday.co.uk/home/gp-contract-2014/15/gerada-removal-of-practice-boundaries-will-break-link-between-gps-and-their-communities/20005257.articl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negpprotest.org/registering-with-the-gp-of-your-choi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iru.ac.uk/assets/files/General%20Practice%20Choice%20Pilot%20Evaluatio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lsetoday.co.uk/lmcs-stage-boycott-of-practice-boundary-pilots/13805188.article" TargetMode="External"/><Relationship Id="rId5" Type="http://schemas.openxmlformats.org/officeDocument/2006/relationships/webSettings" Target="webSettings.xml"/><Relationship Id="rId15" Type="http://schemas.openxmlformats.org/officeDocument/2006/relationships/hyperlink" Target="http://www.bbc.co.uk/news/health-26654617" TargetMode="External"/><Relationship Id="rId10" Type="http://schemas.openxmlformats.org/officeDocument/2006/relationships/hyperlink" Target="http://www.piru.ac.uk/assets/files/General%20Practice%20Choice%20Pilot%20Evaluation.pdf" TargetMode="External"/><Relationship Id="rId4" Type="http://schemas.openxmlformats.org/officeDocument/2006/relationships/settings" Target="settings.xml"/><Relationship Id="rId9" Type="http://schemas.openxmlformats.org/officeDocument/2006/relationships/hyperlink" Target="http://www.gov.uk/government/uploads/system/uploads/attachment_data/file/152294/dh_133411.pdf.pdf" TargetMode="External"/><Relationship Id="rId14" Type="http://schemas.openxmlformats.org/officeDocument/2006/relationships/hyperlink" Target="http://bma.org.uk/news-views-analysis/news/2014/may/funding-changes-will-close-practices-warn-doctors-lea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8EFD9-3B30-475C-8ACA-F9C2B34D9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5863</Words>
  <Characters>33423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39208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Tan</dc:creator>
  <cp:lastModifiedBy>Mays</cp:lastModifiedBy>
  <cp:revision>4</cp:revision>
  <cp:lastPrinted>2014-06-10T10:39:00Z</cp:lastPrinted>
  <dcterms:created xsi:type="dcterms:W3CDTF">2014-10-16T16:28:00Z</dcterms:created>
  <dcterms:modified xsi:type="dcterms:W3CDTF">2014-10-16T16:32:00Z</dcterms:modified>
</cp:coreProperties>
</file>