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8CA" w:rsidRPr="00F170C8" w:rsidRDefault="008F58CA" w:rsidP="008F58CA">
      <w:pPr>
        <w:pStyle w:val="ElsArticleTitle"/>
      </w:pPr>
      <w:r w:rsidRPr="0077511E">
        <w:rPr>
          <w:b/>
        </w:rPr>
        <w:t xml:space="preserve">Substrate derived </w:t>
      </w:r>
      <w:proofErr w:type="spellStart"/>
      <w:r w:rsidRPr="0077511E">
        <w:rPr>
          <w:b/>
        </w:rPr>
        <w:t>peptidic</w:t>
      </w:r>
      <w:proofErr w:type="spellEnd"/>
      <w:r w:rsidRPr="0077511E">
        <w:rPr>
          <w:b/>
        </w:rPr>
        <w:t xml:space="preserve"> </w:t>
      </w:r>
      <w:r w:rsidRPr="0077511E">
        <w:rPr>
          <w:rFonts w:ascii="Symbol" w:hAnsi="Symbol"/>
          <w:b/>
        </w:rPr>
        <w:t></w:t>
      </w:r>
      <w:r w:rsidRPr="0077511E">
        <w:rPr>
          <w:rFonts w:ascii="Symbol" w:hAnsi="Symbol"/>
          <w:b/>
        </w:rPr>
        <w:t></w:t>
      </w:r>
      <w:proofErr w:type="spellStart"/>
      <w:r w:rsidRPr="0077511E">
        <w:rPr>
          <w:b/>
        </w:rPr>
        <w:t>ketoamides</w:t>
      </w:r>
      <w:proofErr w:type="spellEnd"/>
      <w:r w:rsidRPr="0077511E">
        <w:rPr>
          <w:b/>
        </w:rPr>
        <w:t xml:space="preserve"> as inhibitors of the malarial protease PfSUB1</w:t>
      </w:r>
    </w:p>
    <w:p w:rsidR="008F58CA" w:rsidRPr="00F170C8" w:rsidRDefault="008F58CA" w:rsidP="008F58CA">
      <w:pPr>
        <w:pStyle w:val="ElsAuthor"/>
        <w:rPr>
          <w:lang w:val="en-GB"/>
        </w:rPr>
      </w:pPr>
      <w:r w:rsidRPr="0062066F">
        <w:rPr>
          <w:lang w:val="en-GB"/>
        </w:rPr>
        <w:t xml:space="preserve">Samir S. </w:t>
      </w:r>
      <w:proofErr w:type="spellStart"/>
      <w:r w:rsidRPr="0062066F">
        <w:rPr>
          <w:lang w:val="en-GB"/>
        </w:rPr>
        <w:t>Kher,</w:t>
      </w:r>
      <w:r w:rsidRPr="0062066F">
        <w:rPr>
          <w:vertAlign w:val="superscript"/>
          <w:lang w:val="en-GB"/>
        </w:rPr>
        <w:t>a</w:t>
      </w:r>
      <w:proofErr w:type="spellEnd"/>
      <w:r w:rsidRPr="0062066F">
        <w:rPr>
          <w:lang w:val="en-GB"/>
        </w:rPr>
        <w:t xml:space="preserve"> Maria </w:t>
      </w:r>
      <w:proofErr w:type="spellStart"/>
      <w:r w:rsidRPr="0062066F">
        <w:rPr>
          <w:lang w:val="en-GB"/>
        </w:rPr>
        <w:t>Penzo,</w:t>
      </w:r>
      <w:r w:rsidRPr="0062066F">
        <w:rPr>
          <w:vertAlign w:val="superscript"/>
          <w:lang w:val="en-GB"/>
        </w:rPr>
        <w:t>b</w:t>
      </w:r>
      <w:proofErr w:type="spellEnd"/>
      <w:r w:rsidRPr="0062066F">
        <w:rPr>
          <w:lang w:val="en-GB"/>
        </w:rPr>
        <w:t xml:space="preserve"> Simone </w:t>
      </w:r>
      <w:proofErr w:type="spellStart"/>
      <w:r w:rsidRPr="0062066F">
        <w:rPr>
          <w:lang w:val="en-GB"/>
        </w:rPr>
        <w:t>Fulle,</w:t>
      </w:r>
      <w:r w:rsidRPr="0062066F">
        <w:rPr>
          <w:vertAlign w:val="superscript"/>
          <w:lang w:val="en-GB"/>
        </w:rPr>
        <w:t>c,d</w:t>
      </w:r>
      <w:proofErr w:type="spellEnd"/>
      <w:r w:rsidRPr="0062066F">
        <w:rPr>
          <w:lang w:val="en-GB"/>
        </w:rPr>
        <w:t xml:space="preserve"> Paul W. </w:t>
      </w:r>
      <w:proofErr w:type="spellStart"/>
      <w:r w:rsidRPr="0062066F">
        <w:rPr>
          <w:lang w:val="en-GB"/>
        </w:rPr>
        <w:t>Finn,</w:t>
      </w:r>
      <w:r w:rsidRPr="0062066F">
        <w:rPr>
          <w:vertAlign w:val="superscript"/>
          <w:lang w:val="en-GB"/>
        </w:rPr>
        <w:t>c</w:t>
      </w:r>
      <w:proofErr w:type="spellEnd"/>
      <w:r w:rsidRPr="0062066F">
        <w:rPr>
          <w:lang w:val="en-GB"/>
        </w:rPr>
        <w:t xml:space="preserve"> Michael J. </w:t>
      </w:r>
      <w:proofErr w:type="spellStart"/>
      <w:r w:rsidRPr="0062066F">
        <w:rPr>
          <w:lang w:val="en-GB"/>
        </w:rPr>
        <w:t>Blackman,</w:t>
      </w:r>
      <w:r w:rsidRPr="0062066F">
        <w:rPr>
          <w:vertAlign w:val="superscript"/>
          <w:lang w:val="en-GB"/>
        </w:rPr>
        <w:t>b</w:t>
      </w:r>
      <w:proofErr w:type="spellEnd"/>
      <w:r w:rsidRPr="0062066F">
        <w:rPr>
          <w:lang w:val="en-GB"/>
        </w:rPr>
        <w:t xml:space="preserve"> </w:t>
      </w:r>
      <w:proofErr w:type="spellStart"/>
      <w:r w:rsidRPr="0062066F">
        <w:rPr>
          <w:lang w:val="en-GB"/>
        </w:rPr>
        <w:t>Aigars</w:t>
      </w:r>
      <w:proofErr w:type="spellEnd"/>
      <w:r w:rsidRPr="0062066F">
        <w:rPr>
          <w:lang w:val="en-GB"/>
        </w:rPr>
        <w:t xml:space="preserve"> </w:t>
      </w:r>
      <w:proofErr w:type="spellStart"/>
      <w:r w:rsidRPr="0062066F">
        <w:rPr>
          <w:lang w:val="en-GB"/>
        </w:rPr>
        <w:t>Jirgensons</w:t>
      </w:r>
      <w:r w:rsidRPr="0062066F">
        <w:rPr>
          <w:vertAlign w:val="superscript"/>
          <w:lang w:val="en-GB"/>
        </w:rPr>
        <w:t>a</w:t>
      </w:r>
      <w:proofErr w:type="spellEnd"/>
      <w:r w:rsidRPr="0062066F">
        <w:rPr>
          <w:vertAlign w:val="superscript"/>
        </w:rPr>
        <w:t>,</w:t>
      </w:r>
      <w:r>
        <w:rPr>
          <w:vertAlign w:val="superscript"/>
        </w:rPr>
        <w:footnoteReference w:customMarkFollows="1" w:id="1"/>
        <w:sym w:font="Symbol" w:char="F02A"/>
      </w:r>
    </w:p>
    <w:p w:rsidR="008F58CA" w:rsidRDefault="008F58CA" w:rsidP="008F58CA">
      <w:pPr>
        <w:pStyle w:val="ElsAffiliation"/>
      </w:pPr>
      <w:r>
        <w:rPr>
          <w:vertAlign w:val="superscript"/>
        </w:rPr>
        <w:t>a</w:t>
      </w:r>
      <w:r w:rsidRPr="00F75CD5">
        <w:t xml:space="preserve"> </w:t>
      </w:r>
      <w:r w:rsidRPr="00721A4E">
        <w:t xml:space="preserve">Latvian Institute of Organic Synthesis, </w:t>
      </w:r>
      <w:proofErr w:type="spellStart"/>
      <w:r w:rsidRPr="00721A4E">
        <w:t>Aizkraukles</w:t>
      </w:r>
      <w:proofErr w:type="spellEnd"/>
      <w:r w:rsidRPr="00721A4E">
        <w:t xml:space="preserve"> 21, Riga LV-1006,</w:t>
      </w:r>
      <w:r>
        <w:t xml:space="preserve"> Latvia</w:t>
      </w:r>
    </w:p>
    <w:p w:rsidR="008F58CA" w:rsidRDefault="008F58CA" w:rsidP="008F58CA">
      <w:pPr>
        <w:pStyle w:val="ElsAffiliation"/>
        <w:rPr>
          <w:lang w:val="en-GB"/>
        </w:rPr>
      </w:pPr>
      <w:r>
        <w:rPr>
          <w:vertAlign w:val="superscript"/>
        </w:rPr>
        <w:t>b</w:t>
      </w:r>
      <w:r>
        <w:t xml:space="preserve"> </w:t>
      </w:r>
      <w:r w:rsidRPr="00F75CD5">
        <w:rPr>
          <w:lang w:val="en-GB"/>
        </w:rPr>
        <w:t>Division of Parasitology, MRC National Institute for Medical Research, The Ridgeway, Mill, Hill, London NW7 1AA, UK.</w:t>
      </w:r>
    </w:p>
    <w:p w:rsidR="008F58CA" w:rsidRDefault="008F58CA" w:rsidP="008F58CA">
      <w:pPr>
        <w:pStyle w:val="ElsAffiliation"/>
      </w:pPr>
      <w:r>
        <w:rPr>
          <w:vertAlign w:val="superscript"/>
        </w:rPr>
        <w:t>c</w:t>
      </w:r>
      <w:r>
        <w:t xml:space="preserve"> </w:t>
      </w:r>
      <w:proofErr w:type="spellStart"/>
      <w:r>
        <w:t>InhibOx</w:t>
      </w:r>
      <w:proofErr w:type="spellEnd"/>
      <w:r>
        <w:t xml:space="preserve"> Ltd., Oxford Centre for Innovation, New Road, Oxford OX1 1BY, U.K.</w:t>
      </w:r>
    </w:p>
    <w:p w:rsidR="008F58CA" w:rsidRPr="00F75CD5" w:rsidRDefault="008F58CA" w:rsidP="008F58CA">
      <w:pPr>
        <w:pStyle w:val="ElsAffiliation"/>
        <w:rPr>
          <w:lang w:val="en-GB"/>
        </w:rPr>
      </w:pPr>
      <w:r>
        <w:rPr>
          <w:vertAlign w:val="superscript"/>
        </w:rPr>
        <w:t>d</w:t>
      </w:r>
      <w:r>
        <w:t xml:space="preserve"> Current address: </w:t>
      </w:r>
      <w:proofErr w:type="spellStart"/>
      <w:r w:rsidRPr="003D3CD9">
        <w:t>BioMed</w:t>
      </w:r>
      <w:proofErr w:type="spellEnd"/>
      <w:r w:rsidRPr="003D3CD9">
        <w:t xml:space="preserve"> X Innovation Center, </w:t>
      </w:r>
      <w:proofErr w:type="spellStart"/>
      <w:r w:rsidRPr="003D3CD9">
        <w:t>Im</w:t>
      </w:r>
      <w:proofErr w:type="spellEnd"/>
      <w:r>
        <w:t xml:space="preserve"> </w:t>
      </w:r>
      <w:proofErr w:type="spellStart"/>
      <w:r w:rsidRPr="003D3CD9">
        <w:t>Neuenheimer</w:t>
      </w:r>
      <w:proofErr w:type="spellEnd"/>
      <w:r w:rsidRPr="003D3CD9">
        <w:t xml:space="preserve"> Feld 583, 69120 Heidelberg, Germany</w:t>
      </w:r>
    </w:p>
    <w:p w:rsidR="008F58CA" w:rsidRDefault="008F58CA" w:rsidP="008F58CA">
      <w:pPr>
        <w:pStyle w:val="ElsAffiliation"/>
      </w:pPr>
    </w:p>
    <w:tbl>
      <w:tblPr>
        <w:tblpPr w:leftFromText="187" w:rightFromText="187" w:bottomFromText="187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8"/>
        <w:gridCol w:w="6840"/>
      </w:tblGrid>
      <w:tr w:rsidR="008F58CA" w:rsidTr="005079A7">
        <w:trPr>
          <w:trHeight w:val="710"/>
        </w:trPr>
        <w:tc>
          <w:tcPr>
            <w:tcW w:w="3468" w:type="dxa"/>
            <w:vAlign w:val="center"/>
          </w:tcPr>
          <w:p w:rsidR="008F58CA" w:rsidRDefault="008F58CA" w:rsidP="005079A7">
            <w:pPr>
              <w:pStyle w:val="ElsArticleinfoHead"/>
              <w:rPr>
                <w:noProof/>
              </w:rPr>
            </w:pPr>
            <w:r>
              <w:rPr>
                <w:noProof/>
              </w:rPr>
              <w:t>ARTICLE INFO</w:t>
            </w:r>
          </w:p>
        </w:tc>
        <w:tc>
          <w:tcPr>
            <w:tcW w:w="6840" w:type="dxa"/>
            <w:tcMar>
              <w:left w:w="240" w:type="dxa"/>
            </w:tcMar>
            <w:vAlign w:val="center"/>
          </w:tcPr>
          <w:p w:rsidR="008F58CA" w:rsidRDefault="008F58CA" w:rsidP="005079A7">
            <w:pPr>
              <w:pStyle w:val="ElsAbstractHead"/>
            </w:pPr>
            <w:r>
              <w:t>ABSTRACT</w:t>
            </w:r>
          </w:p>
        </w:tc>
      </w:tr>
      <w:tr w:rsidR="008F58CA" w:rsidTr="005079A7">
        <w:trPr>
          <w:cantSplit/>
          <w:trHeight w:val="1051"/>
        </w:trPr>
        <w:tc>
          <w:tcPr>
            <w:tcW w:w="3468" w:type="dxa"/>
            <w:tcMar>
              <w:top w:w="72" w:type="dxa"/>
            </w:tcMar>
          </w:tcPr>
          <w:p w:rsidR="008F58CA" w:rsidRDefault="008F58CA" w:rsidP="005079A7">
            <w:pPr>
              <w:pStyle w:val="ElsArticlehistory"/>
            </w:pPr>
            <w:r>
              <w:t>Article history:</w:t>
            </w:r>
          </w:p>
          <w:p w:rsidR="008F58CA" w:rsidRDefault="008F58CA" w:rsidP="005079A7">
            <w:pPr>
              <w:pStyle w:val="ElsArticlehistory"/>
              <w:rPr>
                <w:i w:val="0"/>
                <w:iCs/>
              </w:rPr>
            </w:pPr>
            <w:r>
              <w:rPr>
                <w:i w:val="0"/>
                <w:iCs/>
              </w:rPr>
              <w:t>Received</w:t>
            </w:r>
          </w:p>
          <w:p w:rsidR="008F58CA" w:rsidRDefault="008F58CA" w:rsidP="005079A7">
            <w:pPr>
              <w:pStyle w:val="ElsArticlehistory"/>
              <w:rPr>
                <w:i w:val="0"/>
                <w:iCs/>
              </w:rPr>
            </w:pPr>
            <w:r>
              <w:rPr>
                <w:i w:val="0"/>
                <w:iCs/>
              </w:rPr>
              <w:t>Revised</w:t>
            </w:r>
          </w:p>
          <w:p w:rsidR="008F58CA" w:rsidRDefault="008F58CA" w:rsidP="005079A7">
            <w:pPr>
              <w:pStyle w:val="ElsArticlehistory"/>
              <w:rPr>
                <w:i w:val="0"/>
                <w:iCs/>
              </w:rPr>
            </w:pPr>
            <w:r>
              <w:rPr>
                <w:i w:val="0"/>
                <w:iCs/>
              </w:rPr>
              <w:t>Accepted</w:t>
            </w:r>
          </w:p>
          <w:p w:rsidR="008F58CA" w:rsidRDefault="008F58CA" w:rsidP="005079A7">
            <w:pPr>
              <w:pStyle w:val="ElsArticlehistory"/>
            </w:pPr>
            <w:r>
              <w:rPr>
                <w:i w:val="0"/>
                <w:iCs/>
              </w:rPr>
              <w:t>Available online</w:t>
            </w:r>
          </w:p>
        </w:tc>
        <w:tc>
          <w:tcPr>
            <w:tcW w:w="6840" w:type="dxa"/>
            <w:vMerge w:val="restart"/>
            <w:tcMar>
              <w:left w:w="240" w:type="dxa"/>
            </w:tcMar>
          </w:tcPr>
          <w:p w:rsidR="008F58CA" w:rsidRDefault="008F58CA" w:rsidP="005079A7">
            <w:pPr>
              <w:pStyle w:val="ElsAbstractText"/>
            </w:pPr>
            <w:proofErr w:type="spellStart"/>
            <w:r w:rsidRPr="00727394">
              <w:rPr>
                <w:lang w:val="en-GB"/>
              </w:rPr>
              <w:t>Peptidic</w:t>
            </w:r>
            <w:proofErr w:type="spellEnd"/>
            <w:r w:rsidRPr="00727394">
              <w:rPr>
                <w:lang w:val="en-GB"/>
              </w:rPr>
              <w:t xml:space="preserve"> </w:t>
            </w:r>
            <w:r w:rsidRPr="00727394">
              <w:rPr>
                <w:rFonts w:ascii="Symbol" w:hAnsi="Symbol"/>
                <w:lang w:val="en-GB"/>
              </w:rPr>
              <w:t></w:t>
            </w:r>
            <w:r w:rsidRPr="00727394">
              <w:rPr>
                <w:rFonts w:ascii="Symbol" w:hAnsi="Symbol"/>
                <w:lang w:val="en-GB"/>
              </w:rPr>
              <w:t></w:t>
            </w:r>
            <w:proofErr w:type="spellStart"/>
            <w:r w:rsidRPr="00727394">
              <w:rPr>
                <w:lang w:val="en-GB"/>
              </w:rPr>
              <w:t>ketoamides</w:t>
            </w:r>
            <w:proofErr w:type="spellEnd"/>
            <w:r w:rsidRPr="00727394">
              <w:rPr>
                <w:lang w:val="en-GB"/>
              </w:rPr>
              <w:t xml:space="preserve"> have been developed as inhibitors of the malarial protease PfSUB1. The design of inhibitors was based on the best known endogenous PfSUB1 substrate sequence, leading to compounds with </w:t>
            </w:r>
            <w:r>
              <w:rPr>
                <w:lang w:val="en-GB"/>
              </w:rPr>
              <w:t xml:space="preserve">low </w:t>
            </w:r>
            <w:proofErr w:type="spellStart"/>
            <w:r>
              <w:rPr>
                <w:lang w:val="en-GB"/>
              </w:rPr>
              <w:t>micromolar</w:t>
            </w:r>
            <w:proofErr w:type="spellEnd"/>
            <w:r>
              <w:rPr>
                <w:lang w:val="en-GB"/>
              </w:rPr>
              <w:t xml:space="preserve"> to </w:t>
            </w:r>
            <w:proofErr w:type="spellStart"/>
            <w:r w:rsidRPr="00727394">
              <w:rPr>
                <w:lang w:val="en-GB"/>
              </w:rPr>
              <w:t>submicromolar</w:t>
            </w:r>
            <w:proofErr w:type="spellEnd"/>
            <w:r>
              <w:rPr>
                <w:lang w:val="en-GB"/>
              </w:rPr>
              <w:t xml:space="preserve"> </w:t>
            </w:r>
            <w:r w:rsidRPr="00727394">
              <w:rPr>
                <w:lang w:val="en-GB"/>
              </w:rPr>
              <w:t>inhibitory activity. SAR studies were performed indicating the requirement of an aspartate mimicking the P</w:t>
            </w:r>
            <w:r w:rsidRPr="00727394">
              <w:rPr>
                <w:vertAlign w:val="subscript"/>
                <w:lang w:val="en-GB"/>
              </w:rPr>
              <w:t>1</w:t>
            </w:r>
            <w:r w:rsidRPr="00727394">
              <w:rPr>
                <w:lang w:val="en-GB"/>
              </w:rPr>
              <w:t>’ substituent and optimal P</w:t>
            </w:r>
            <w:r w:rsidRPr="00727394">
              <w:rPr>
                <w:vertAlign w:val="subscript"/>
                <w:lang w:val="en-GB"/>
              </w:rPr>
              <w:t>1</w:t>
            </w:r>
            <w:r w:rsidRPr="00727394">
              <w:rPr>
                <w:lang w:val="en-GB"/>
              </w:rPr>
              <w:t>-P</w:t>
            </w:r>
            <w:r w:rsidRPr="00727394">
              <w:rPr>
                <w:vertAlign w:val="subscript"/>
                <w:lang w:val="en-GB"/>
              </w:rPr>
              <w:t>4</w:t>
            </w:r>
            <w:r w:rsidRPr="00727394">
              <w:rPr>
                <w:lang w:val="en-GB"/>
              </w:rPr>
              <w:t xml:space="preserve"> length of the non-prime part. The importance of each of the P</w:t>
            </w:r>
            <w:r w:rsidRPr="00727394">
              <w:rPr>
                <w:vertAlign w:val="subscript"/>
                <w:lang w:val="en-GB"/>
              </w:rPr>
              <w:t>1</w:t>
            </w:r>
            <w:r w:rsidRPr="00727394">
              <w:rPr>
                <w:lang w:val="en-GB"/>
              </w:rPr>
              <w:t>-P</w:t>
            </w:r>
            <w:r w:rsidRPr="00727394">
              <w:rPr>
                <w:vertAlign w:val="subscript"/>
                <w:lang w:val="en-GB"/>
              </w:rPr>
              <w:t>4</w:t>
            </w:r>
            <w:r w:rsidRPr="00727394">
              <w:rPr>
                <w:lang w:val="en-GB"/>
              </w:rPr>
              <w:t xml:space="preserve"> amino acid side chains was investigated, revealing crucial interactions and size limitations.</w:t>
            </w:r>
          </w:p>
          <w:p w:rsidR="008F58CA" w:rsidRDefault="008F58CA" w:rsidP="008F58CA">
            <w:pPr>
              <w:pStyle w:val="ElsAbstractText"/>
              <w:jc w:val="right"/>
            </w:pPr>
          </w:p>
        </w:tc>
      </w:tr>
      <w:tr w:rsidR="008F58CA" w:rsidTr="005079A7">
        <w:trPr>
          <w:cantSplit/>
          <w:trHeight w:val="1385"/>
        </w:trPr>
        <w:tc>
          <w:tcPr>
            <w:tcW w:w="3468" w:type="dxa"/>
            <w:tcMar>
              <w:top w:w="72" w:type="dxa"/>
              <w:left w:w="0" w:type="dxa"/>
            </w:tcMar>
            <w:vAlign w:val="center"/>
          </w:tcPr>
          <w:p w:rsidR="008F58CA" w:rsidRDefault="008F58CA" w:rsidP="005079A7">
            <w:pPr>
              <w:pStyle w:val="ElsKeywordHead"/>
            </w:pPr>
            <w:r>
              <w:t>Keywords:</w:t>
            </w:r>
          </w:p>
          <w:p w:rsidR="008F58CA" w:rsidRDefault="008F58CA" w:rsidP="005079A7">
            <w:pPr>
              <w:pStyle w:val="ElsKeyword"/>
            </w:pPr>
            <w:r w:rsidRPr="002A2E73">
              <w:rPr>
                <w:rFonts w:ascii="Symbol" w:hAnsi="Symbol"/>
              </w:rPr>
              <w:t></w:t>
            </w:r>
            <w:r w:rsidRPr="002A2E73">
              <w:rPr>
                <w:rFonts w:ascii="Symbol" w:hAnsi="Symbol"/>
              </w:rPr>
              <w:t></w:t>
            </w:r>
            <w:proofErr w:type="spellStart"/>
            <w:r>
              <w:t>Ketoamide</w:t>
            </w:r>
            <w:proofErr w:type="spellEnd"/>
          </w:p>
          <w:p w:rsidR="008F58CA" w:rsidRDefault="008F58CA" w:rsidP="005079A7">
            <w:pPr>
              <w:pStyle w:val="ElsKeyword"/>
              <w:rPr>
                <w:iCs/>
              </w:rPr>
            </w:pPr>
            <w:r>
              <w:t xml:space="preserve">Serine </w:t>
            </w:r>
            <w:proofErr w:type="spellStart"/>
            <w:r>
              <w:t>proteaase</w:t>
            </w:r>
            <w:proofErr w:type="spellEnd"/>
            <w:r>
              <w:t xml:space="preserve"> </w:t>
            </w:r>
          </w:p>
          <w:p w:rsidR="008F58CA" w:rsidRDefault="008F58CA" w:rsidP="005079A7">
            <w:pPr>
              <w:pStyle w:val="ElsKeyword"/>
              <w:rPr>
                <w:iCs/>
              </w:rPr>
            </w:pPr>
            <w:r w:rsidRPr="00FB27AE">
              <w:t>PfSUB1</w:t>
            </w:r>
          </w:p>
          <w:p w:rsidR="008F58CA" w:rsidRDefault="008F58CA" w:rsidP="005079A7">
            <w:pPr>
              <w:pStyle w:val="ElsKeyword"/>
            </w:pPr>
            <w:r>
              <w:t>Malaria</w:t>
            </w:r>
          </w:p>
          <w:p w:rsidR="008F58CA" w:rsidRDefault="008F58CA" w:rsidP="005079A7">
            <w:pPr>
              <w:pStyle w:val="ElsKeyword"/>
            </w:pPr>
            <w:r>
              <w:t>Peptides</w:t>
            </w:r>
          </w:p>
          <w:p w:rsidR="008F58CA" w:rsidRDefault="008F58CA" w:rsidP="005079A7">
            <w:pPr>
              <w:pStyle w:val="ElsKeyword"/>
              <w:rPr>
                <w:i/>
              </w:rPr>
            </w:pPr>
          </w:p>
        </w:tc>
        <w:tc>
          <w:tcPr>
            <w:tcW w:w="6840" w:type="dxa"/>
            <w:vMerge/>
          </w:tcPr>
          <w:p w:rsidR="008F58CA" w:rsidRDefault="008F58CA" w:rsidP="005079A7">
            <w:pPr>
              <w:spacing w:after="80" w:line="200" w:lineRule="exact"/>
            </w:pPr>
          </w:p>
        </w:tc>
      </w:tr>
    </w:tbl>
    <w:p w:rsidR="008F58CA" w:rsidRDefault="008F58CA" w:rsidP="008F58CA">
      <w:pPr>
        <w:pStyle w:val="ElsCorrespondingAuthor"/>
        <w:spacing w:before="60" w:after="200" w:line="240" w:lineRule="auto"/>
        <w:rPr>
          <w:szCs w:val="24"/>
        </w:rPr>
        <w:sectPr w:rsidR="008F58CA">
          <w:headerReference w:type="even" r:id="rId7"/>
          <w:pgSz w:w="11906" w:h="16838" w:code="9"/>
          <w:pgMar w:top="1440" w:right="766" w:bottom="1238" w:left="766" w:header="720" w:footer="240" w:gutter="0"/>
          <w:cols w:space="720"/>
        </w:sectPr>
      </w:pPr>
    </w:p>
    <w:p w:rsidR="008F58CA" w:rsidRPr="008F58CA" w:rsidRDefault="008F58CA" w:rsidP="008F58CA">
      <w:pPr>
        <w:pStyle w:val="ElsParagraph"/>
        <w:rPr>
          <w:vertAlign w:val="superscript"/>
        </w:rPr>
      </w:pPr>
      <w:r w:rsidRPr="00FB27AE">
        <w:t xml:space="preserve">Malaria is a devastating disease with an estimated 207 million cases and 627 </w:t>
      </w:r>
      <w:r w:rsidRPr="008F58CA">
        <w:t>thousand lethal outcomes in 2012.</w:t>
      </w:r>
      <w:r w:rsidRPr="008F58CA">
        <w:rPr>
          <w:szCs w:val="24"/>
          <w:vertAlign w:val="superscript"/>
        </w:rPr>
        <w:t>1</w:t>
      </w:r>
      <w:r w:rsidRPr="008F58CA">
        <w:t xml:space="preserve"> The threat of emerging malaria strains that are resistant to all currently used drugs has motivated the search for novel drug targets to interrupt the life cycle of the parasite.</w:t>
      </w:r>
      <w:r w:rsidRPr="008F58CA">
        <w:rPr>
          <w:szCs w:val="24"/>
          <w:vertAlign w:val="superscript"/>
        </w:rPr>
        <w:t>2-4</w:t>
      </w:r>
      <w:r w:rsidRPr="008F58CA">
        <w:t xml:space="preserve"> As such, the malarial enzyme PfSUB1 (Plasmodium falciparum </w:t>
      </w:r>
      <w:proofErr w:type="spellStart"/>
      <w:r w:rsidRPr="008F58CA">
        <w:t>subtilisin</w:t>
      </w:r>
      <w:proofErr w:type="spellEnd"/>
      <w:r w:rsidRPr="008F58CA">
        <w:t xml:space="preserve"> like serine protease-1) has attracted high interest. This enzyme is released into the </w:t>
      </w:r>
      <w:proofErr w:type="spellStart"/>
      <w:r w:rsidRPr="008F58CA">
        <w:t>parasitophorous</w:t>
      </w:r>
      <w:proofErr w:type="spellEnd"/>
      <w:r w:rsidRPr="008F58CA">
        <w:t xml:space="preserve"> vacuole where it activates a family of protease-like proteins called SERA, leading to rupture of the vacuole and host cell membrane.</w:t>
      </w:r>
      <w:r w:rsidRPr="008F58CA">
        <w:rPr>
          <w:szCs w:val="24"/>
          <w:vertAlign w:val="superscript"/>
        </w:rPr>
        <w:t>5-8</w:t>
      </w:r>
      <w:r w:rsidRPr="008F58CA">
        <w:t xml:space="preserve"> Inhibition of PfSUB1 is a promising approach to block propagation of a malarial infection by preventing the egress of </w:t>
      </w:r>
      <w:proofErr w:type="spellStart"/>
      <w:r w:rsidRPr="008F58CA">
        <w:t>merozoites</w:t>
      </w:r>
      <w:proofErr w:type="spellEnd"/>
      <w:r w:rsidRPr="008F58CA">
        <w:t xml:space="preserve"> from the red blood cell. However, the development of small molecule inhibitors for PfSUB1 has turned out to be a difficult task. Screening of a collection of &gt;170,000 low molecular weight compounds resulted in the identification of a structurally complex natural product </w:t>
      </w:r>
      <w:r w:rsidRPr="008F58CA">
        <w:rPr>
          <w:b/>
        </w:rPr>
        <w:t>1</w:t>
      </w:r>
      <w:r w:rsidRPr="008F58CA">
        <w:t xml:space="preserve"> (MRT 12113) as a </w:t>
      </w:r>
      <w:proofErr w:type="spellStart"/>
      <w:r w:rsidRPr="008F58CA">
        <w:t>submicromolar</w:t>
      </w:r>
      <w:proofErr w:type="spellEnd"/>
      <w:r w:rsidRPr="008F58CA">
        <w:t xml:space="preserve"> PfSUB1 inhibitor (Figure 1).</w:t>
      </w:r>
      <w:r w:rsidRPr="008F58CA">
        <w:rPr>
          <w:szCs w:val="24"/>
          <w:vertAlign w:val="superscript"/>
        </w:rPr>
        <w:t>6</w:t>
      </w:r>
      <w:r w:rsidRPr="008F58CA">
        <w:t xml:space="preserve"> An independent HTS screening campaign led to the identification of a </w:t>
      </w:r>
      <w:proofErr w:type="spellStart"/>
      <w:r w:rsidRPr="008F58CA">
        <w:t>quinolylhydrazone</w:t>
      </w:r>
      <w:proofErr w:type="spellEnd"/>
      <w:r w:rsidRPr="008F58CA">
        <w:t xml:space="preserve"> derivative </w:t>
      </w:r>
      <w:r w:rsidRPr="008F58CA">
        <w:rPr>
          <w:b/>
        </w:rPr>
        <w:t>2</w:t>
      </w:r>
      <w:r w:rsidRPr="008F58CA">
        <w:t xml:space="preserve"> as a </w:t>
      </w:r>
      <w:proofErr w:type="spellStart"/>
      <w:r w:rsidRPr="008F58CA">
        <w:t>micromolar</w:t>
      </w:r>
      <w:proofErr w:type="spellEnd"/>
      <w:r w:rsidRPr="008F58CA">
        <w:t xml:space="preserve"> PfSUB1 inhibitor (Figure 1).</w:t>
      </w:r>
      <w:r w:rsidRPr="008F58CA">
        <w:rPr>
          <w:vertAlign w:val="superscript"/>
        </w:rPr>
        <w:t>9</w:t>
      </w:r>
      <w:r w:rsidRPr="008F58CA">
        <w:t xml:space="preserve"> In addition, targeted serine protease inhibitor library screening has revealed </w:t>
      </w:r>
      <w:proofErr w:type="spellStart"/>
      <w:r w:rsidRPr="008F58CA">
        <w:t>chloroisocoumarin</w:t>
      </w:r>
      <w:proofErr w:type="spellEnd"/>
      <w:r w:rsidRPr="008F58CA">
        <w:t xml:space="preserve"> derivative </w:t>
      </w:r>
      <w:r w:rsidRPr="008F58CA">
        <w:rPr>
          <w:b/>
        </w:rPr>
        <w:t>3</w:t>
      </w:r>
      <w:r w:rsidRPr="008F58CA">
        <w:t xml:space="preserve"> (JCP104) as a </w:t>
      </w:r>
      <w:proofErr w:type="spellStart"/>
      <w:r w:rsidRPr="008F58CA">
        <w:t>micromolar</w:t>
      </w:r>
      <w:proofErr w:type="spellEnd"/>
      <w:r w:rsidRPr="008F58CA">
        <w:t xml:space="preserve"> PfSUB1 inhibitor (Figure 1).</w:t>
      </w:r>
      <w:r w:rsidRPr="008F58CA">
        <w:rPr>
          <w:vertAlign w:val="superscript"/>
        </w:rPr>
        <w:t>7</w:t>
      </w:r>
      <w:r w:rsidRPr="008F58CA">
        <w:t xml:space="preserve"> Virtual HTS screening against homology models of SUB1 from Plasmodium </w:t>
      </w:r>
      <w:proofErr w:type="spellStart"/>
      <w:r w:rsidRPr="008F58CA">
        <w:t>vivax</w:t>
      </w:r>
      <w:proofErr w:type="spellEnd"/>
      <w:r w:rsidRPr="008F58CA">
        <w:t xml:space="preserve"> provided </w:t>
      </w:r>
      <w:r w:rsidRPr="008F58CA">
        <w:rPr>
          <w:b/>
        </w:rPr>
        <w:t>4</w:t>
      </w:r>
      <w:r w:rsidRPr="008F58CA">
        <w:t xml:space="preserve"> and </w:t>
      </w:r>
      <w:r w:rsidRPr="008F58CA">
        <w:rPr>
          <w:b/>
        </w:rPr>
        <w:t>5</w:t>
      </w:r>
      <w:r w:rsidRPr="008F58CA">
        <w:t xml:space="preserve"> as </w:t>
      </w:r>
      <w:proofErr w:type="spellStart"/>
      <w:r w:rsidRPr="008F58CA">
        <w:t>micromolar</w:t>
      </w:r>
      <w:proofErr w:type="spellEnd"/>
      <w:r w:rsidRPr="008F58CA">
        <w:t xml:space="preserve"> hits also active against PfSUB1 (Figure 1).</w:t>
      </w:r>
      <w:r w:rsidRPr="008F58CA">
        <w:rPr>
          <w:vertAlign w:val="superscript"/>
        </w:rPr>
        <w:t>10</w:t>
      </w:r>
    </w:p>
    <w:p w:rsidR="008F58CA" w:rsidRPr="008F58CA" w:rsidRDefault="008F58CA" w:rsidP="008F58CA">
      <w:pPr>
        <w:pStyle w:val="ElsParagraph"/>
      </w:pPr>
    </w:p>
    <w:p w:rsidR="008F58CA" w:rsidRPr="008F58CA" w:rsidRDefault="008F58CA" w:rsidP="008F58CA">
      <w:pPr>
        <w:pStyle w:val="08ArticleText"/>
        <w:spacing w:line="240" w:lineRule="auto"/>
        <w:jc w:val="center"/>
      </w:pPr>
      <w:r w:rsidRPr="008F58CA">
        <w:object w:dxaOrig="6243" w:dyaOrig="56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.75pt;height:227.25pt" o:ole="">
            <v:imagedata r:id="rId8" o:title=""/>
          </v:shape>
          <o:OLEObject Type="Embed" ProgID="ChemDraw.Document.6.0" ShapeID="_x0000_i1025" DrawAspect="Content" ObjectID="_1523862376" r:id="rId9"/>
        </w:object>
      </w:r>
    </w:p>
    <w:p w:rsidR="008F58CA" w:rsidRPr="008F58CA" w:rsidRDefault="008F58CA" w:rsidP="008F58CA">
      <w:pPr>
        <w:pStyle w:val="08ArticleText"/>
        <w:spacing w:line="240" w:lineRule="auto"/>
        <w:jc w:val="center"/>
      </w:pPr>
    </w:p>
    <w:p w:rsidR="008F58CA" w:rsidRPr="008F58CA" w:rsidRDefault="008F58CA" w:rsidP="008F58CA">
      <w:pPr>
        <w:pStyle w:val="ElsFigureCaption"/>
      </w:pPr>
      <w:r w:rsidRPr="008F58CA">
        <w:rPr>
          <w:b/>
        </w:rPr>
        <w:t xml:space="preserve">Figure 1. </w:t>
      </w:r>
      <w:r w:rsidRPr="008F58CA">
        <w:t>PfSUB1 inhibitors previously identified by screening of compound libraries.</w:t>
      </w:r>
    </w:p>
    <w:p w:rsidR="008F58CA" w:rsidRDefault="008F58CA" w:rsidP="008F58CA">
      <w:pPr>
        <w:pStyle w:val="ElsParagraph"/>
      </w:pPr>
      <w:r w:rsidRPr="008F58CA">
        <w:t xml:space="preserve">Recently, we reported the first </w:t>
      </w:r>
      <w:proofErr w:type="spellStart"/>
      <w:r w:rsidRPr="008F58CA">
        <w:t>hexapeptidic</w:t>
      </w:r>
      <w:proofErr w:type="spellEnd"/>
      <w:r w:rsidRPr="008F58CA">
        <w:t xml:space="preserve"> </w:t>
      </w:r>
      <w:proofErr w:type="spellStart"/>
      <w:r w:rsidRPr="008F58CA">
        <w:t>ketoamide</w:t>
      </w:r>
      <w:proofErr w:type="spellEnd"/>
      <w:r w:rsidRPr="008F58CA">
        <w:t xml:space="preserve"> </w:t>
      </w:r>
      <w:r w:rsidRPr="008F58CA">
        <w:rPr>
          <w:b/>
        </w:rPr>
        <w:t xml:space="preserve">6 </w:t>
      </w:r>
      <w:r w:rsidRPr="008F58CA">
        <w:t>inhibitor of PfSUB1 that was designed based on the best enzyme substrate sequence - KITAQ/DDEES (Figure 2).</w:t>
      </w:r>
      <w:r w:rsidRPr="008F58CA">
        <w:rPr>
          <w:szCs w:val="24"/>
          <w:vertAlign w:val="superscript"/>
        </w:rPr>
        <w:t>11,12</w:t>
      </w:r>
      <w:r w:rsidRPr="008F58CA">
        <w:rPr>
          <w:szCs w:val="24"/>
        </w:rPr>
        <w:t xml:space="preserve"> Incorporation of </w:t>
      </w:r>
      <w:proofErr w:type="spellStart"/>
      <w:r w:rsidRPr="008F58CA">
        <w:rPr>
          <w:szCs w:val="24"/>
        </w:rPr>
        <w:t>ketoamide</w:t>
      </w:r>
      <w:proofErr w:type="spellEnd"/>
      <w:r w:rsidRPr="008F58CA">
        <w:rPr>
          <w:szCs w:val="24"/>
        </w:rPr>
        <w:t xml:space="preserve"> warhead instead of scissile bond ensures the</w:t>
      </w:r>
      <w:r w:rsidRPr="008F58CA">
        <w:t xml:space="preserve"> binding to the protease by forming a reversible covalent bond between the </w:t>
      </w:r>
      <w:proofErr w:type="spellStart"/>
      <w:r w:rsidRPr="008F58CA">
        <w:t>keto</w:t>
      </w:r>
      <w:proofErr w:type="spellEnd"/>
      <w:r w:rsidRPr="008F58CA">
        <w:t xml:space="preserve"> group of the inhibitor and the serine of the catalytic triad.</w:t>
      </w:r>
      <w:r w:rsidRPr="008F58CA">
        <w:rPr>
          <w:szCs w:val="24"/>
          <w:vertAlign w:val="superscript"/>
        </w:rPr>
        <w:t>13-17</w:t>
      </w:r>
      <w:r w:rsidRPr="008F58CA">
        <w:t xml:space="preserve"> Additional non-covalent interactions are formed at the prime- and</w:t>
      </w:r>
      <w:r w:rsidRPr="00E35EC0">
        <w:t xml:space="preserve"> </w:t>
      </w:r>
      <w:r w:rsidRPr="00E35EC0">
        <w:lastRenderedPageBreak/>
        <w:t xml:space="preserve">non-prime side of the enzyme, mimicking those of a natural substrate. </w:t>
      </w:r>
    </w:p>
    <w:p w:rsidR="008F58CA" w:rsidRPr="008F58CA" w:rsidRDefault="008F58CA" w:rsidP="008F58CA">
      <w:pPr>
        <w:pStyle w:val="08ArticleText"/>
        <w:spacing w:line="240" w:lineRule="auto"/>
        <w:jc w:val="center"/>
      </w:pPr>
      <w:r w:rsidRPr="008F58CA">
        <w:object w:dxaOrig="5011" w:dyaOrig="2676">
          <v:shape id="_x0000_i1026" type="#_x0000_t75" style="width:200.25pt;height:107.25pt" o:ole="">
            <v:imagedata r:id="rId10" o:title=""/>
          </v:shape>
          <o:OLEObject Type="Embed" ProgID="ChemDraw.Document.6.0" ShapeID="_x0000_i1026" DrawAspect="Content" ObjectID="_1523862377" r:id="rId11"/>
        </w:object>
      </w:r>
    </w:p>
    <w:p w:rsidR="008F58CA" w:rsidRPr="008F58CA" w:rsidRDefault="008F58CA" w:rsidP="008F58CA">
      <w:pPr>
        <w:pStyle w:val="ElsParagraph"/>
      </w:pPr>
      <w:r w:rsidRPr="008F58CA">
        <w:rPr>
          <w:b/>
        </w:rPr>
        <w:t>Figure 2.</w:t>
      </w:r>
      <w:r w:rsidRPr="008F58CA">
        <w:t xml:space="preserve"> Rationally designed </w:t>
      </w:r>
      <w:proofErr w:type="spellStart"/>
      <w:r w:rsidRPr="008F58CA">
        <w:t>peptidic</w:t>
      </w:r>
      <w:proofErr w:type="spellEnd"/>
      <w:r w:rsidRPr="008F58CA">
        <w:t xml:space="preserve"> </w:t>
      </w:r>
      <w:proofErr w:type="spellStart"/>
      <w:r w:rsidRPr="008F58CA">
        <w:t>ketoamide</w:t>
      </w:r>
      <w:proofErr w:type="spellEnd"/>
      <w:r w:rsidRPr="008F58CA">
        <w:rPr>
          <w:b/>
        </w:rPr>
        <w:t xml:space="preserve"> 6</w:t>
      </w:r>
      <w:r w:rsidRPr="008F58CA">
        <w:t xml:space="preserve"> as PfSUB1 inhibitor based on substrate sequence KITAQ/DDEES </w:t>
      </w:r>
    </w:p>
    <w:p w:rsidR="008F58CA" w:rsidRPr="008F58CA" w:rsidRDefault="008F58CA" w:rsidP="008F58CA">
      <w:pPr>
        <w:pStyle w:val="ElsParagraph"/>
      </w:pPr>
      <w:r w:rsidRPr="008F58CA">
        <w:t xml:space="preserve">Here we report the synthesis and systematic SAR investigation using molecular modeling of </w:t>
      </w:r>
      <w:proofErr w:type="spellStart"/>
      <w:r w:rsidRPr="008F58CA">
        <w:t>peptidic</w:t>
      </w:r>
      <w:proofErr w:type="spellEnd"/>
      <w:r w:rsidRPr="008F58CA">
        <w:t xml:space="preserve"> </w:t>
      </w:r>
      <w:r w:rsidRPr="008F58CA">
        <w:rPr>
          <w:rFonts w:ascii="Symbol" w:hAnsi="Symbol"/>
        </w:rPr>
        <w:t></w:t>
      </w:r>
      <w:r w:rsidRPr="008F58CA">
        <w:rPr>
          <w:rFonts w:ascii="Symbol" w:hAnsi="Symbol"/>
        </w:rPr>
        <w:t></w:t>
      </w:r>
      <w:proofErr w:type="spellStart"/>
      <w:r w:rsidRPr="008F58CA">
        <w:t>ketoamides</w:t>
      </w:r>
      <w:proofErr w:type="spellEnd"/>
      <w:r w:rsidRPr="008F58CA">
        <w:t xml:space="preserve"> as PfSUB1 inhibitors to explore the crucial interactions that determine their activity.</w:t>
      </w:r>
    </w:p>
    <w:p w:rsidR="008F58CA" w:rsidRPr="008F58CA" w:rsidRDefault="008F58CA" w:rsidP="008F58CA">
      <w:pPr>
        <w:pStyle w:val="ElsParagraph"/>
      </w:pPr>
      <w:r w:rsidRPr="008F58CA">
        <w:t xml:space="preserve">The synthesis of </w:t>
      </w:r>
      <w:proofErr w:type="spellStart"/>
      <w:r w:rsidRPr="008F58CA">
        <w:t>peptidic</w:t>
      </w:r>
      <w:proofErr w:type="spellEnd"/>
      <w:r w:rsidRPr="008F58CA">
        <w:t xml:space="preserve"> </w:t>
      </w:r>
      <w:r w:rsidRPr="008F58CA">
        <w:rPr>
          <w:rFonts w:ascii="Symbol" w:hAnsi="Symbol"/>
        </w:rPr>
        <w:t></w:t>
      </w:r>
      <w:r w:rsidRPr="008F58CA">
        <w:rPr>
          <w:rFonts w:ascii="Symbol" w:hAnsi="Symbol"/>
        </w:rPr>
        <w:t></w:t>
      </w:r>
      <w:proofErr w:type="spellStart"/>
      <w:r w:rsidRPr="008F58CA">
        <w:t>ketoamides</w:t>
      </w:r>
      <w:proofErr w:type="spellEnd"/>
      <w:r w:rsidRPr="008F58CA">
        <w:t xml:space="preserve"> involved peptides </w:t>
      </w:r>
      <w:r w:rsidRPr="008F58CA">
        <w:rPr>
          <w:b/>
        </w:rPr>
        <w:t>7a-f</w:t>
      </w:r>
      <w:r w:rsidRPr="008F58CA">
        <w:t xml:space="preserve"> and amino alcohols </w:t>
      </w:r>
      <w:r w:rsidRPr="008F58CA">
        <w:rPr>
          <w:b/>
        </w:rPr>
        <w:t>8a-m</w:t>
      </w:r>
      <w:r w:rsidRPr="008F58CA">
        <w:t xml:space="preserve"> as principal building blocks (Scheme 1). Peptides </w:t>
      </w:r>
      <w:r w:rsidRPr="008F58CA">
        <w:rPr>
          <w:b/>
        </w:rPr>
        <w:t>7a-f</w:t>
      </w:r>
      <w:r w:rsidRPr="008F58CA">
        <w:t xml:space="preserve"> were prepared by solution phase peptide synthesis (see SI for details). Amino alcohols </w:t>
      </w:r>
      <w:r w:rsidRPr="008F58CA">
        <w:rPr>
          <w:b/>
        </w:rPr>
        <w:t>8</w:t>
      </w:r>
      <w:r w:rsidRPr="008F58CA">
        <w:t xml:space="preserve"> were prepared by using different methods depending on a substitution pattern. </w:t>
      </w:r>
      <w:proofErr w:type="spellStart"/>
      <w:r w:rsidRPr="008F58CA">
        <w:t>Azidolysis</w:t>
      </w:r>
      <w:proofErr w:type="spellEnd"/>
      <w:r w:rsidRPr="008F58CA">
        <w:t xml:space="preserve"> of epoxide </w:t>
      </w:r>
      <w:r w:rsidRPr="008F58CA">
        <w:rPr>
          <w:b/>
        </w:rPr>
        <w:t>28</w:t>
      </w:r>
      <w:r w:rsidRPr="008F58CA">
        <w:t xml:space="preserve"> was used as a key step to prepare amino alcohols </w:t>
      </w:r>
      <w:r w:rsidRPr="008F58CA">
        <w:rPr>
          <w:b/>
        </w:rPr>
        <w:t>8a-f</w:t>
      </w:r>
      <w:r w:rsidRPr="008F58CA">
        <w:t xml:space="preserve"> (Scheme 2).</w:t>
      </w:r>
      <w:r w:rsidRPr="008F58CA">
        <w:rPr>
          <w:vertAlign w:val="superscript"/>
        </w:rPr>
        <w:t>18</w:t>
      </w:r>
      <w:r w:rsidRPr="008F58CA">
        <w:t xml:space="preserve"> The Henry reaction of readily accessible nitro compounds </w:t>
      </w:r>
      <w:r w:rsidRPr="008F58CA">
        <w:rPr>
          <w:b/>
        </w:rPr>
        <w:t>29</w:t>
      </w:r>
      <w:r w:rsidRPr="008F58CA">
        <w:t xml:space="preserve"> and </w:t>
      </w:r>
      <w:r w:rsidRPr="008F58CA">
        <w:rPr>
          <w:b/>
        </w:rPr>
        <w:t>30</w:t>
      </w:r>
      <w:r w:rsidRPr="008F58CA">
        <w:t xml:space="preserve"> with ethyl </w:t>
      </w:r>
      <w:proofErr w:type="spellStart"/>
      <w:r w:rsidRPr="008F58CA">
        <w:t>glyoxylate</w:t>
      </w:r>
      <w:proofErr w:type="spellEnd"/>
      <w:r w:rsidRPr="008F58CA">
        <w:t xml:space="preserve"> was used to make amino alcohols </w:t>
      </w:r>
      <w:r w:rsidRPr="008F58CA">
        <w:rPr>
          <w:b/>
        </w:rPr>
        <w:t>8g-j</w:t>
      </w:r>
      <w:r w:rsidRPr="008F58CA">
        <w:t xml:space="preserve"> (Scheme 3).</w:t>
      </w:r>
      <w:r w:rsidRPr="008F58CA">
        <w:rPr>
          <w:vertAlign w:val="superscript"/>
        </w:rPr>
        <w:t>19,20</w:t>
      </w:r>
    </w:p>
    <w:p w:rsidR="008F58CA" w:rsidRPr="008F58CA" w:rsidRDefault="008F58CA" w:rsidP="008F58CA">
      <w:pPr>
        <w:pStyle w:val="08ArticleText"/>
        <w:spacing w:line="240" w:lineRule="auto"/>
      </w:pPr>
    </w:p>
    <w:p w:rsidR="008F58CA" w:rsidRPr="008F58CA" w:rsidRDefault="008F58CA" w:rsidP="008F58CA">
      <w:pPr>
        <w:pStyle w:val="08ArticleText"/>
        <w:spacing w:line="240" w:lineRule="auto"/>
        <w:jc w:val="center"/>
      </w:pPr>
      <w:r w:rsidRPr="008F58CA">
        <w:object w:dxaOrig="5191" w:dyaOrig="2777">
          <v:shape id="_x0000_i1027" type="#_x0000_t75" style="width:209.25pt;height:111pt" o:ole="">
            <v:imagedata r:id="rId12" o:title=""/>
          </v:shape>
          <o:OLEObject Type="Embed" ProgID="ChemDraw.Document.6.0" ShapeID="_x0000_i1027" DrawAspect="Content" ObjectID="_1523862378" r:id="rId13"/>
        </w:object>
      </w:r>
    </w:p>
    <w:p w:rsidR="008F58CA" w:rsidRPr="008F58CA" w:rsidRDefault="008F58CA" w:rsidP="008F58CA">
      <w:pPr>
        <w:pStyle w:val="ElsFigureCaption"/>
        <w:jc w:val="both"/>
      </w:pPr>
      <w:r w:rsidRPr="008F58CA">
        <w:rPr>
          <w:b/>
        </w:rPr>
        <w:t xml:space="preserve">Scheme 1. </w:t>
      </w:r>
      <w:r w:rsidRPr="008F58CA">
        <w:t xml:space="preserve">Synthesis of </w:t>
      </w:r>
      <w:proofErr w:type="spellStart"/>
      <w:r w:rsidRPr="008F58CA">
        <w:t>peptidic</w:t>
      </w:r>
      <w:proofErr w:type="spellEnd"/>
      <w:r w:rsidRPr="008F58CA">
        <w:t xml:space="preserve"> </w:t>
      </w:r>
      <w:r w:rsidRPr="008F58CA">
        <w:rPr>
          <w:rFonts w:ascii="Symbol" w:hAnsi="Symbol"/>
        </w:rPr>
        <w:t></w:t>
      </w:r>
      <w:r w:rsidRPr="008F58CA">
        <w:rPr>
          <w:rFonts w:ascii="Symbol" w:hAnsi="Symbol"/>
        </w:rPr>
        <w:t></w:t>
      </w:r>
      <w:proofErr w:type="spellStart"/>
      <w:r w:rsidRPr="008F58CA">
        <w:t>ketoamides</w:t>
      </w:r>
      <w:proofErr w:type="spellEnd"/>
      <w:r w:rsidRPr="008F58CA">
        <w:t xml:space="preserve"> </w:t>
      </w:r>
      <w:r w:rsidRPr="008F58CA">
        <w:rPr>
          <w:b/>
        </w:rPr>
        <w:t xml:space="preserve">9-27 </w:t>
      </w:r>
      <w:r w:rsidRPr="008F58CA">
        <w:t xml:space="preserve">from peptides </w:t>
      </w:r>
      <w:r w:rsidRPr="008F58CA">
        <w:rPr>
          <w:b/>
        </w:rPr>
        <w:t xml:space="preserve">7a-f </w:t>
      </w:r>
      <w:r w:rsidRPr="008F58CA">
        <w:t xml:space="preserve">and amino alcohols </w:t>
      </w:r>
      <w:r w:rsidRPr="008F58CA">
        <w:rPr>
          <w:b/>
        </w:rPr>
        <w:t>8a-m</w:t>
      </w:r>
      <w:r w:rsidRPr="008F58CA">
        <w:t xml:space="preserve">. (a) EDC, </w:t>
      </w:r>
      <w:proofErr w:type="spellStart"/>
      <w:r w:rsidRPr="008F58CA">
        <w:t>HOBt</w:t>
      </w:r>
      <w:proofErr w:type="spellEnd"/>
      <w:r w:rsidRPr="008F58CA">
        <w:t>, DIEA, DMF;</w:t>
      </w:r>
      <w:r w:rsidRPr="008F58CA">
        <w:rPr>
          <w:b/>
        </w:rPr>
        <w:t xml:space="preserve"> </w:t>
      </w:r>
      <w:r w:rsidRPr="008F58CA">
        <w:t xml:space="preserve">(b) if TBS protected, TBAF, THF; (c) DMP, NMP, (d) </w:t>
      </w:r>
      <w:proofErr w:type="gramStart"/>
      <w:r w:rsidRPr="008F58CA">
        <w:t>TFA:DCM</w:t>
      </w:r>
      <w:proofErr w:type="gramEnd"/>
      <w:r w:rsidRPr="008F58CA">
        <w:t xml:space="preserve"> (1:1) or </w:t>
      </w:r>
      <w:proofErr w:type="spellStart"/>
      <w:r w:rsidRPr="008F58CA">
        <w:t>HCl</w:t>
      </w:r>
      <w:proofErr w:type="spellEnd"/>
      <w:r w:rsidRPr="008F58CA">
        <w:t xml:space="preserve"> in Et</w:t>
      </w:r>
      <w:r w:rsidRPr="008F58CA">
        <w:rPr>
          <w:vertAlign w:val="subscript"/>
        </w:rPr>
        <w:t>2</w:t>
      </w:r>
      <w:r w:rsidRPr="008F58CA">
        <w:t>O.</w:t>
      </w:r>
    </w:p>
    <w:p w:rsidR="008F58CA" w:rsidRPr="008F58CA" w:rsidRDefault="008F58CA" w:rsidP="008F58CA">
      <w:pPr>
        <w:pStyle w:val="08ArticleText"/>
        <w:spacing w:line="240" w:lineRule="auto"/>
      </w:pPr>
    </w:p>
    <w:p w:rsidR="008F58CA" w:rsidRPr="008F58CA" w:rsidRDefault="008F58CA" w:rsidP="008F58CA">
      <w:pPr>
        <w:pStyle w:val="08ArticleText"/>
        <w:spacing w:line="240" w:lineRule="auto"/>
        <w:jc w:val="center"/>
      </w:pPr>
      <w:r w:rsidRPr="008F58CA">
        <w:object w:dxaOrig="5470" w:dyaOrig="2259">
          <v:shape id="_x0000_i1028" type="#_x0000_t75" style="width:218.25pt;height:90pt" o:ole="">
            <v:imagedata r:id="rId14" o:title=""/>
          </v:shape>
          <o:OLEObject Type="Embed" ProgID="ChemDraw.Document.6.0" ShapeID="_x0000_i1028" DrawAspect="Content" ObjectID="_1523862379" r:id="rId15"/>
        </w:object>
      </w:r>
    </w:p>
    <w:p w:rsidR="008F58CA" w:rsidRPr="008F58CA" w:rsidRDefault="008F58CA" w:rsidP="008F58CA">
      <w:pPr>
        <w:pStyle w:val="ElsFigureCaption"/>
        <w:jc w:val="both"/>
      </w:pPr>
      <w:r w:rsidRPr="008F58CA">
        <w:rPr>
          <w:b/>
        </w:rPr>
        <w:t>Scheme 2</w:t>
      </w:r>
      <w:r w:rsidRPr="008F58CA">
        <w:t xml:space="preserve">. Synthesis of amino alcohols </w:t>
      </w:r>
      <w:r w:rsidRPr="008F58CA">
        <w:rPr>
          <w:b/>
        </w:rPr>
        <w:t xml:space="preserve">8a-f </w:t>
      </w:r>
      <w:r w:rsidRPr="008F58CA">
        <w:t xml:space="preserve">using epoxide </w:t>
      </w:r>
      <w:r w:rsidRPr="008F58CA">
        <w:rPr>
          <w:b/>
        </w:rPr>
        <w:t>29</w:t>
      </w:r>
      <w:r w:rsidRPr="008F58CA">
        <w:t xml:space="preserve"> </w:t>
      </w:r>
      <w:proofErr w:type="spellStart"/>
      <w:r w:rsidRPr="008F58CA">
        <w:t>azidolysis</w:t>
      </w:r>
      <w:proofErr w:type="spellEnd"/>
      <w:r w:rsidRPr="008F58CA">
        <w:t>. (a) NaN</w:t>
      </w:r>
      <w:r w:rsidRPr="008F58CA">
        <w:rPr>
          <w:vertAlign w:val="subscript"/>
        </w:rPr>
        <w:t>3</w:t>
      </w:r>
      <w:r w:rsidRPr="008F58CA">
        <w:t>, Cu(NO</w:t>
      </w:r>
      <w:proofErr w:type="gramStart"/>
      <w:r w:rsidRPr="008F58CA">
        <w:rPr>
          <w:vertAlign w:val="subscript"/>
        </w:rPr>
        <w:t>3</w:t>
      </w:r>
      <w:r w:rsidRPr="008F58CA">
        <w:t>)</w:t>
      </w:r>
      <w:r w:rsidRPr="008F58CA">
        <w:rPr>
          <w:vertAlign w:val="subscript"/>
        </w:rPr>
        <w:t>*</w:t>
      </w:r>
      <w:proofErr w:type="gramEnd"/>
      <w:r w:rsidRPr="008F58CA">
        <w:t>3H</w:t>
      </w:r>
      <w:r w:rsidRPr="008F58CA">
        <w:rPr>
          <w:vertAlign w:val="subscript"/>
        </w:rPr>
        <w:t>2</w:t>
      </w:r>
      <w:r w:rsidRPr="008F58CA">
        <w:t>O, H</w:t>
      </w:r>
      <w:r w:rsidRPr="008F58CA">
        <w:rPr>
          <w:vertAlign w:val="subscript"/>
        </w:rPr>
        <w:t>2</w:t>
      </w:r>
      <w:r w:rsidRPr="008F58CA">
        <w:t xml:space="preserve">O; (b) </w:t>
      </w:r>
      <w:r w:rsidRPr="008F58CA">
        <w:rPr>
          <w:i/>
        </w:rPr>
        <w:t>O-</w:t>
      </w:r>
      <w:r w:rsidRPr="008F58CA">
        <w:t xml:space="preserve">protected amino acid or </w:t>
      </w:r>
      <w:r w:rsidRPr="008F58CA">
        <w:rPr>
          <w:i/>
        </w:rPr>
        <w:t>N-</w:t>
      </w:r>
      <w:r w:rsidRPr="008F58CA">
        <w:t xml:space="preserve">protected amide of amino acid, EDC, </w:t>
      </w:r>
      <w:proofErr w:type="spellStart"/>
      <w:r w:rsidRPr="008F58CA">
        <w:t>HOBt</w:t>
      </w:r>
      <w:proofErr w:type="spellEnd"/>
      <w:r w:rsidRPr="008F58CA">
        <w:t>, DIEA, DCM or DMF; (c) anhydrous SnCl</w:t>
      </w:r>
      <w:r w:rsidRPr="008F58CA">
        <w:rPr>
          <w:vertAlign w:val="subscript"/>
        </w:rPr>
        <w:t>2</w:t>
      </w:r>
      <w:r w:rsidRPr="008F58CA">
        <w:t xml:space="preserve">, TEA, </w:t>
      </w:r>
      <w:proofErr w:type="spellStart"/>
      <w:r w:rsidRPr="008F58CA">
        <w:t>MeOH</w:t>
      </w:r>
      <w:proofErr w:type="spellEnd"/>
      <w:r w:rsidRPr="008F58CA">
        <w:t xml:space="preserve">. </w:t>
      </w:r>
      <w:proofErr w:type="spellStart"/>
      <w:r w:rsidRPr="008F58CA">
        <w:t>Cumyl</w:t>
      </w:r>
      <w:proofErr w:type="spellEnd"/>
      <w:r w:rsidRPr="008F58CA">
        <w:t xml:space="preserve"> = </w:t>
      </w:r>
      <w:r w:rsidRPr="008F58CA">
        <w:rPr>
          <w:rFonts w:ascii="Symbol" w:hAnsi="Symbol"/>
          <w:i/>
        </w:rPr>
        <w:t></w:t>
      </w:r>
      <w:r w:rsidRPr="008F58CA">
        <w:rPr>
          <w:rFonts w:ascii="Symbol" w:hAnsi="Symbol"/>
        </w:rPr>
        <w:t></w:t>
      </w:r>
      <w:r w:rsidRPr="008F58CA">
        <w:rPr>
          <w:rFonts w:ascii="Symbol" w:hAnsi="Symbol"/>
          <w:i/>
        </w:rPr>
        <w:t></w:t>
      </w:r>
      <w:r w:rsidRPr="008F58CA">
        <w:t>-</w:t>
      </w:r>
      <w:proofErr w:type="spellStart"/>
      <w:r w:rsidRPr="008F58CA">
        <w:t>dimethylbenzyl</w:t>
      </w:r>
      <w:proofErr w:type="spellEnd"/>
      <w:r w:rsidRPr="008F58CA">
        <w:t>.</w:t>
      </w:r>
    </w:p>
    <w:p w:rsidR="008F58CA" w:rsidRPr="008F58CA" w:rsidRDefault="008F58CA" w:rsidP="008F58CA">
      <w:pPr>
        <w:pStyle w:val="08ArticleText"/>
        <w:spacing w:line="240" w:lineRule="auto"/>
      </w:pPr>
    </w:p>
    <w:p w:rsidR="008F58CA" w:rsidRPr="008F58CA" w:rsidRDefault="008F58CA" w:rsidP="008F58CA">
      <w:pPr>
        <w:pStyle w:val="08ArticleText"/>
        <w:spacing w:line="240" w:lineRule="auto"/>
        <w:jc w:val="center"/>
      </w:pPr>
      <w:r w:rsidRPr="008F58CA">
        <w:object w:dxaOrig="5633" w:dyaOrig="2475">
          <v:shape id="_x0000_i1029" type="#_x0000_t75" style="width:223.5pt;height:99pt" o:ole="">
            <v:imagedata r:id="rId16" o:title=""/>
          </v:shape>
          <o:OLEObject Type="Embed" ProgID="ChemDraw.Document.6.0" ShapeID="_x0000_i1029" DrawAspect="Content" ObjectID="_1523862380" r:id="rId17"/>
        </w:object>
      </w:r>
    </w:p>
    <w:p w:rsidR="008F58CA" w:rsidRPr="008F58CA" w:rsidRDefault="008F58CA" w:rsidP="008F58CA">
      <w:pPr>
        <w:pStyle w:val="ElsFigureCaption"/>
        <w:jc w:val="both"/>
      </w:pPr>
      <w:r w:rsidRPr="008F58CA">
        <w:rPr>
          <w:b/>
        </w:rPr>
        <w:t xml:space="preserve">Scheme 3. </w:t>
      </w:r>
      <w:r w:rsidRPr="008F58CA">
        <w:t xml:space="preserve">Synthesis of amino alcohols </w:t>
      </w:r>
      <w:r w:rsidRPr="008F58CA">
        <w:rPr>
          <w:b/>
        </w:rPr>
        <w:t xml:space="preserve">8g-j </w:t>
      </w:r>
      <w:r w:rsidRPr="008F58CA">
        <w:t xml:space="preserve">using Henry reaction. (a) ethyl </w:t>
      </w:r>
      <w:proofErr w:type="spellStart"/>
      <w:r w:rsidRPr="008F58CA">
        <w:t>glyoxalate</w:t>
      </w:r>
      <w:proofErr w:type="spellEnd"/>
      <w:r w:rsidRPr="008F58CA">
        <w:t>, TEA toluene; (b) Ra-Ni, H</w:t>
      </w:r>
      <w:r w:rsidRPr="008F58CA">
        <w:rPr>
          <w:vertAlign w:val="subscript"/>
        </w:rPr>
        <w:t>2</w:t>
      </w:r>
      <w:r w:rsidRPr="008F58CA">
        <w:t xml:space="preserve">, </w:t>
      </w:r>
      <w:proofErr w:type="spellStart"/>
      <w:r w:rsidRPr="008F58CA">
        <w:t>EtOH</w:t>
      </w:r>
      <w:proofErr w:type="spellEnd"/>
      <w:r w:rsidRPr="008F58CA">
        <w:t xml:space="preserve">; (c) </w:t>
      </w:r>
      <w:proofErr w:type="spellStart"/>
      <w:r w:rsidRPr="008F58CA">
        <w:t>Cbz</w:t>
      </w:r>
      <w:proofErr w:type="spellEnd"/>
      <w:r w:rsidRPr="008F58CA">
        <w:t>-Cl, 1 M NaHCO</w:t>
      </w:r>
      <w:r w:rsidRPr="008F58CA">
        <w:rPr>
          <w:vertAlign w:val="subscript"/>
        </w:rPr>
        <w:t>3</w:t>
      </w:r>
      <w:r w:rsidRPr="008F58CA">
        <w:t xml:space="preserve">; (d) </w:t>
      </w:r>
      <w:proofErr w:type="spellStart"/>
      <w:r w:rsidRPr="008F58CA">
        <w:t>NaOH</w:t>
      </w:r>
      <w:proofErr w:type="spellEnd"/>
      <w:r w:rsidRPr="008F58CA">
        <w:t xml:space="preserve">, </w:t>
      </w:r>
      <w:proofErr w:type="spellStart"/>
      <w:r w:rsidRPr="008F58CA">
        <w:t>dioxane</w:t>
      </w:r>
      <w:proofErr w:type="spellEnd"/>
      <w:r w:rsidRPr="008F58CA">
        <w:t xml:space="preserve">; (e) </w:t>
      </w:r>
      <w:r w:rsidRPr="008F58CA">
        <w:rPr>
          <w:i/>
        </w:rPr>
        <w:t>β</w:t>
      </w:r>
      <w:r w:rsidRPr="008F58CA">
        <w:t>-</w:t>
      </w:r>
      <w:proofErr w:type="spellStart"/>
      <w:r w:rsidRPr="008F58CA">
        <w:t>AlaOt</w:t>
      </w:r>
      <w:proofErr w:type="spellEnd"/>
      <w:r w:rsidRPr="008F58CA">
        <w:t>-Bu</w:t>
      </w:r>
      <w:r w:rsidRPr="008F58CA">
        <w:rPr>
          <w:vertAlign w:val="subscript"/>
        </w:rPr>
        <w:t>*</w:t>
      </w:r>
      <w:proofErr w:type="spellStart"/>
      <w:r w:rsidRPr="008F58CA">
        <w:t>HCl</w:t>
      </w:r>
      <w:proofErr w:type="spellEnd"/>
      <w:r w:rsidRPr="008F58CA">
        <w:t xml:space="preserve">, EDC, </w:t>
      </w:r>
      <w:proofErr w:type="spellStart"/>
      <w:r w:rsidRPr="008F58CA">
        <w:t>HOBt</w:t>
      </w:r>
      <w:proofErr w:type="spellEnd"/>
      <w:r w:rsidRPr="008F58CA">
        <w:t>, DIEA, DCM; (f) H</w:t>
      </w:r>
      <w:r w:rsidRPr="008F58CA">
        <w:rPr>
          <w:vertAlign w:val="subscript"/>
        </w:rPr>
        <w:t>2</w:t>
      </w:r>
      <w:r w:rsidRPr="008F58CA">
        <w:t xml:space="preserve">, </w:t>
      </w:r>
      <w:proofErr w:type="spellStart"/>
      <w:r w:rsidRPr="008F58CA">
        <w:t>Pd</w:t>
      </w:r>
      <w:proofErr w:type="spellEnd"/>
      <w:r w:rsidRPr="008F58CA">
        <w:t xml:space="preserve">/C, </w:t>
      </w:r>
      <w:proofErr w:type="spellStart"/>
      <w:r w:rsidRPr="008F58CA">
        <w:t>EtOH</w:t>
      </w:r>
      <w:proofErr w:type="spellEnd"/>
      <w:r w:rsidRPr="008F58CA">
        <w:t xml:space="preserve">. For compounds </w:t>
      </w:r>
      <w:r w:rsidRPr="008F58CA">
        <w:rPr>
          <w:b/>
        </w:rPr>
        <w:t>8</w:t>
      </w:r>
      <w:proofErr w:type="gramStart"/>
      <w:r w:rsidRPr="008F58CA">
        <w:rPr>
          <w:b/>
        </w:rPr>
        <w:t>h,i</w:t>
      </w:r>
      <w:proofErr w:type="gramEnd"/>
      <w:r w:rsidRPr="008F58CA">
        <w:t xml:space="preserve"> (g) TFA:DCM (1:1); (h) </w:t>
      </w:r>
      <w:proofErr w:type="spellStart"/>
      <w:r w:rsidRPr="008F58CA">
        <w:t>cumylamine</w:t>
      </w:r>
      <w:proofErr w:type="spellEnd"/>
      <w:r w:rsidRPr="008F58CA">
        <w:t xml:space="preserve"> or dimethylamine, EDC, </w:t>
      </w:r>
      <w:proofErr w:type="spellStart"/>
      <w:r w:rsidRPr="008F58CA">
        <w:t>HOBt</w:t>
      </w:r>
      <w:proofErr w:type="spellEnd"/>
      <w:r w:rsidRPr="008F58CA">
        <w:t>, DIEA, DCM.</w:t>
      </w:r>
    </w:p>
    <w:p w:rsidR="008F58CA" w:rsidRPr="008F58CA" w:rsidRDefault="008F58CA" w:rsidP="008F58CA">
      <w:pPr>
        <w:pStyle w:val="08ArticleText"/>
        <w:spacing w:line="240" w:lineRule="auto"/>
      </w:pPr>
    </w:p>
    <w:p w:rsidR="008F58CA" w:rsidRPr="008F58CA" w:rsidRDefault="008F58CA" w:rsidP="008F58CA">
      <w:pPr>
        <w:pStyle w:val="08ArticleText"/>
        <w:spacing w:line="240" w:lineRule="auto"/>
        <w:jc w:val="center"/>
      </w:pPr>
      <w:r w:rsidRPr="008F58CA">
        <w:object w:dxaOrig="5613" w:dyaOrig="2033">
          <v:shape id="_x0000_i1030" type="#_x0000_t75" style="width:225pt;height:83.25pt" o:ole="">
            <v:imagedata r:id="rId18" o:title=""/>
          </v:shape>
          <o:OLEObject Type="Embed" ProgID="ChemDraw.Document.6.0" ShapeID="_x0000_i1030" DrawAspect="Content" ObjectID="_1523862381" r:id="rId19"/>
        </w:object>
      </w:r>
    </w:p>
    <w:p w:rsidR="008F58CA" w:rsidRPr="008F58CA" w:rsidRDefault="008F58CA" w:rsidP="008F58CA">
      <w:pPr>
        <w:pStyle w:val="ElsFigureCaption"/>
        <w:jc w:val="both"/>
      </w:pPr>
      <w:r w:rsidRPr="008F58CA">
        <w:rPr>
          <w:b/>
        </w:rPr>
        <w:t xml:space="preserve">Scheme 4. </w:t>
      </w:r>
      <w:r w:rsidRPr="008F58CA">
        <w:t xml:space="preserve">Synthesis of amino alcohols </w:t>
      </w:r>
      <w:r w:rsidRPr="008F58CA">
        <w:rPr>
          <w:b/>
        </w:rPr>
        <w:t xml:space="preserve">8k-m </w:t>
      </w:r>
      <w:r w:rsidRPr="008F58CA">
        <w:t xml:space="preserve">using homologation of aldehydes </w:t>
      </w:r>
      <w:r w:rsidRPr="008F58CA">
        <w:rPr>
          <w:b/>
        </w:rPr>
        <w:t>31</w:t>
      </w:r>
      <w:r w:rsidRPr="008F58CA">
        <w:t xml:space="preserve"> with MAC reagent or isocyanate. (a) 2-(</w:t>
      </w:r>
      <w:proofErr w:type="gramStart"/>
      <w:r w:rsidRPr="008F58CA">
        <w:t>TBSO)</w:t>
      </w:r>
      <w:proofErr w:type="spellStart"/>
      <w:r w:rsidRPr="008F58CA">
        <w:t>malononitrile</w:t>
      </w:r>
      <w:proofErr w:type="spellEnd"/>
      <w:proofErr w:type="gramEnd"/>
      <w:r w:rsidRPr="008F58CA">
        <w:t xml:space="preserve">, </w:t>
      </w:r>
      <w:r w:rsidRPr="008F58CA">
        <w:rPr>
          <w:i/>
        </w:rPr>
        <w:t>β</w:t>
      </w:r>
      <w:r w:rsidRPr="008F58CA">
        <w:t>-</w:t>
      </w:r>
      <w:proofErr w:type="spellStart"/>
      <w:r w:rsidRPr="008F58CA">
        <w:t>AlaOt</w:t>
      </w:r>
      <w:proofErr w:type="spellEnd"/>
      <w:r w:rsidRPr="008F58CA">
        <w:t>-Bu*</w:t>
      </w:r>
      <w:proofErr w:type="spellStart"/>
      <w:r w:rsidRPr="008F58CA">
        <w:t>HCl</w:t>
      </w:r>
      <w:proofErr w:type="spellEnd"/>
      <w:r w:rsidRPr="008F58CA">
        <w:t>, 4-PP, Et</w:t>
      </w:r>
      <w:r w:rsidRPr="008F58CA">
        <w:rPr>
          <w:vertAlign w:val="subscript"/>
        </w:rPr>
        <w:t>2</w:t>
      </w:r>
      <w:r w:rsidRPr="008F58CA">
        <w:t xml:space="preserve">O; (b) </w:t>
      </w:r>
      <w:r w:rsidRPr="008F58CA">
        <w:rPr>
          <w:i/>
        </w:rPr>
        <w:t>tert</w:t>
      </w:r>
      <w:r w:rsidRPr="008F58CA">
        <w:t>-butyl-3-isocyanopropanoate, TFA, pyridine, DCM; (c) H</w:t>
      </w:r>
      <w:r w:rsidRPr="008F58CA">
        <w:rPr>
          <w:vertAlign w:val="subscript"/>
        </w:rPr>
        <w:t>2</w:t>
      </w:r>
      <w:r w:rsidRPr="008F58CA">
        <w:t xml:space="preserve">, </w:t>
      </w:r>
      <w:proofErr w:type="spellStart"/>
      <w:r w:rsidRPr="008F58CA">
        <w:t>Pd</w:t>
      </w:r>
      <w:proofErr w:type="spellEnd"/>
      <w:r w:rsidRPr="008F58CA">
        <w:t xml:space="preserve">/C, ethanol. </w:t>
      </w:r>
    </w:p>
    <w:p w:rsidR="008F58CA" w:rsidRPr="008F58CA" w:rsidRDefault="008F58CA" w:rsidP="008F58CA">
      <w:pPr>
        <w:pStyle w:val="08ArticleText"/>
        <w:rPr>
          <w:szCs w:val="19"/>
        </w:rPr>
      </w:pPr>
    </w:p>
    <w:p w:rsidR="008F58CA" w:rsidRPr="008F58CA" w:rsidRDefault="008F58CA" w:rsidP="008F58CA">
      <w:pPr>
        <w:pStyle w:val="ElsParagraph"/>
        <w:ind w:firstLine="0"/>
      </w:pPr>
      <w:r w:rsidRPr="008F58CA">
        <w:t xml:space="preserve">The reaction of amino aldehydes </w:t>
      </w:r>
      <w:r w:rsidRPr="008F58CA">
        <w:rPr>
          <w:b/>
        </w:rPr>
        <w:t>31a</w:t>
      </w:r>
      <w:r w:rsidRPr="008F58CA">
        <w:rPr>
          <w:vertAlign w:val="superscript"/>
        </w:rPr>
        <w:t>21</w:t>
      </w:r>
      <w:r w:rsidRPr="008F58CA">
        <w:t xml:space="preserve"> and </w:t>
      </w:r>
      <w:r w:rsidRPr="008F58CA">
        <w:rPr>
          <w:b/>
        </w:rPr>
        <w:t>31b</w:t>
      </w:r>
      <w:r w:rsidRPr="008F58CA">
        <w:t xml:space="preserve"> with MAC reagent and amine gave O-TBS protected amino alcohols </w:t>
      </w:r>
      <w:r w:rsidRPr="008F58CA">
        <w:rPr>
          <w:b/>
        </w:rPr>
        <w:t>8</w:t>
      </w:r>
      <w:proofErr w:type="gramStart"/>
      <w:r w:rsidRPr="008F58CA">
        <w:rPr>
          <w:b/>
        </w:rPr>
        <w:t>k,l</w:t>
      </w:r>
      <w:proofErr w:type="gramEnd"/>
      <w:r w:rsidRPr="008F58CA">
        <w:t xml:space="preserve">, after </w:t>
      </w:r>
      <w:proofErr w:type="spellStart"/>
      <w:r w:rsidRPr="008F58CA">
        <w:t>Cbz-deprotection</w:t>
      </w:r>
      <w:proofErr w:type="spellEnd"/>
      <w:r w:rsidRPr="008F58CA">
        <w:t xml:space="preserve"> (Scheme 4).</w:t>
      </w:r>
      <w:r w:rsidRPr="008F58CA">
        <w:rPr>
          <w:vertAlign w:val="superscript"/>
        </w:rPr>
        <w:t>22</w:t>
      </w:r>
      <w:r w:rsidRPr="008F58CA">
        <w:t xml:space="preserve"> </w:t>
      </w:r>
      <w:proofErr w:type="spellStart"/>
      <w:r w:rsidRPr="008F58CA">
        <w:t>Passerini</w:t>
      </w:r>
      <w:proofErr w:type="spellEnd"/>
      <w:r w:rsidRPr="008F58CA">
        <w:t xml:space="preserve"> reaction of aldehyde </w:t>
      </w:r>
      <w:r w:rsidRPr="008F58CA">
        <w:rPr>
          <w:b/>
        </w:rPr>
        <w:t>31c</w:t>
      </w:r>
      <w:r w:rsidRPr="008F58CA">
        <w:t xml:space="preserve"> with </w:t>
      </w:r>
      <w:proofErr w:type="spellStart"/>
      <w:r w:rsidRPr="008F58CA">
        <w:t>isocyanopropionate</w:t>
      </w:r>
      <w:proofErr w:type="spellEnd"/>
      <w:r w:rsidRPr="008F58CA">
        <w:t xml:space="preserve"> followed by </w:t>
      </w:r>
      <w:proofErr w:type="spellStart"/>
      <w:r w:rsidRPr="008F58CA">
        <w:t>deprotection</w:t>
      </w:r>
      <w:proofErr w:type="spellEnd"/>
      <w:r w:rsidRPr="008F58CA">
        <w:t xml:space="preserve"> provided amino alcohol </w:t>
      </w:r>
      <w:r w:rsidRPr="008F58CA">
        <w:rPr>
          <w:b/>
        </w:rPr>
        <w:t>8m</w:t>
      </w:r>
      <w:r w:rsidRPr="008F58CA">
        <w:t xml:space="preserve"> (Scheme 4).</w:t>
      </w:r>
      <w:r w:rsidRPr="008F58CA">
        <w:rPr>
          <w:vertAlign w:val="superscript"/>
        </w:rPr>
        <w:t>23</w:t>
      </w:r>
    </w:p>
    <w:p w:rsidR="008F58CA" w:rsidRPr="008F58CA" w:rsidRDefault="008F58CA" w:rsidP="008F58CA">
      <w:pPr>
        <w:pStyle w:val="ElsParagraph"/>
        <w:rPr>
          <w:vertAlign w:val="superscript"/>
        </w:rPr>
      </w:pPr>
      <w:r w:rsidRPr="008F58CA">
        <w:t xml:space="preserve">Studies of prime-side substituents demonstrated that the optimal linker to the terminal carboxyl group resembles an aspartic acid residue (Table 1, compounds </w:t>
      </w:r>
      <w:r w:rsidRPr="008F58CA">
        <w:rPr>
          <w:b/>
        </w:rPr>
        <w:t>6</w:t>
      </w:r>
      <w:r w:rsidRPr="008F58CA">
        <w:t xml:space="preserve">, </w:t>
      </w:r>
      <w:r w:rsidRPr="008F58CA">
        <w:rPr>
          <w:b/>
        </w:rPr>
        <w:t>9-10</w:t>
      </w:r>
      <w:r w:rsidRPr="008F58CA">
        <w:t xml:space="preserve">). Introduction of a shorter or longer chain resulted in decreased activity. The requirement for a carboxylic group at the prime side terminus was confirmed by amide analogue </w:t>
      </w:r>
      <w:r w:rsidRPr="008F58CA">
        <w:rPr>
          <w:b/>
        </w:rPr>
        <w:t>11</w:t>
      </w:r>
      <w:r w:rsidRPr="008F58CA">
        <w:t xml:space="preserve"> that showed a considerable decrease in inhibitory activity. This is also in line with the tendency for the preference of acidic prime site residues of authentic PfSUB1 substrates.</w:t>
      </w:r>
      <w:r w:rsidRPr="008F58CA">
        <w:rPr>
          <w:vertAlign w:val="superscript"/>
        </w:rPr>
        <w:t>8</w:t>
      </w:r>
    </w:p>
    <w:p w:rsidR="008F58CA" w:rsidRPr="008F58CA" w:rsidRDefault="008F58CA" w:rsidP="008F58CA">
      <w:pPr>
        <w:pStyle w:val="ElsTableCaption"/>
      </w:pPr>
      <w:r w:rsidRPr="008F58CA">
        <w:rPr>
          <w:b/>
        </w:rPr>
        <w:t>Table 1.</w:t>
      </w:r>
      <w:r w:rsidRPr="008F58CA">
        <w:t xml:space="preserve"> Modifications of P</w:t>
      </w:r>
      <w:r w:rsidRPr="008F58CA">
        <w:rPr>
          <w:vertAlign w:val="subscript"/>
        </w:rPr>
        <w:t>1</w:t>
      </w:r>
      <w:r w:rsidRPr="008F58CA">
        <w:t>’ substituent</w:t>
      </w:r>
    </w:p>
    <w:p w:rsidR="008F58CA" w:rsidRDefault="008F58CA" w:rsidP="008F58CA">
      <w:pPr>
        <w:pStyle w:val="08ArticleText"/>
        <w:spacing w:line="240" w:lineRule="auto"/>
        <w:jc w:val="center"/>
      </w:pPr>
      <w:r w:rsidRPr="008F58CA">
        <w:object w:dxaOrig="4694" w:dyaOrig="1980">
          <v:shape id="_x0000_i1031" type="#_x0000_t75" style="width:185.25pt;height:78.75pt" o:ole="">
            <v:imagedata r:id="rId20" o:title=""/>
          </v:shape>
          <o:OLEObject Type="Embed" ProgID="ChemDraw.Document.6.0" ShapeID="_x0000_i1031" DrawAspect="Content" ObjectID="_1523862382" r:id="rId21"/>
        </w:object>
      </w:r>
    </w:p>
    <w:p w:rsidR="008F58CA" w:rsidRDefault="008F58CA" w:rsidP="008F58CA">
      <w:pPr>
        <w:pStyle w:val="08ArticleText"/>
        <w:spacing w:line="240" w:lineRule="auto"/>
        <w:jc w:val="center"/>
      </w:pPr>
    </w:p>
    <w:tbl>
      <w:tblPr>
        <w:tblW w:w="4962" w:type="dxa"/>
        <w:tblInd w:w="108" w:type="dxa"/>
        <w:tblLayout w:type="fixed"/>
        <w:tblLook w:val="00BF" w:firstRow="1" w:lastRow="0" w:firstColumn="1" w:lastColumn="0" w:noHBand="0" w:noVBand="0"/>
      </w:tblPr>
      <w:tblGrid>
        <w:gridCol w:w="1276"/>
        <w:gridCol w:w="2693"/>
        <w:gridCol w:w="993"/>
      </w:tblGrid>
      <w:tr w:rsidR="008F58CA" w:rsidTr="005079A7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F58CA" w:rsidRPr="00584644" w:rsidRDefault="008F58CA" w:rsidP="005079A7">
            <w:pPr>
              <w:pStyle w:val="ElsLegend"/>
            </w:pPr>
            <w:proofErr w:type="spellStart"/>
            <w:r w:rsidRPr="00584644">
              <w:t>Cmpd</w:t>
            </w:r>
            <w:proofErr w:type="spellEnd"/>
            <w:r w:rsidRPr="00584644"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F58CA" w:rsidRPr="00584644" w:rsidRDefault="008F58CA" w:rsidP="005079A7">
            <w:pPr>
              <w:pStyle w:val="ElsLegend"/>
            </w:pPr>
            <w:r w:rsidRPr="00584644">
              <w:t>R</w:t>
            </w:r>
            <w:r w:rsidRPr="00584644">
              <w:rPr>
                <w:vertAlign w:val="subscript"/>
              </w:rPr>
              <w:t>1</w:t>
            </w:r>
            <w:r w:rsidRPr="00584644">
              <w:rPr>
                <w:vertAlign w:val="superscript"/>
              </w:rPr>
              <w:t xml:space="preserve"> </w:t>
            </w:r>
            <w:r w:rsidRPr="00584644">
              <w:t>(P</w:t>
            </w:r>
            <w:r w:rsidRPr="00584644">
              <w:rPr>
                <w:vertAlign w:val="subscript"/>
              </w:rPr>
              <w:t>1</w:t>
            </w:r>
            <w:r w:rsidRPr="00584644">
              <w:t>’)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F58CA" w:rsidRDefault="008F58CA" w:rsidP="005079A7">
            <w:pPr>
              <w:pStyle w:val="ElsLegend"/>
            </w:pPr>
            <w:r w:rsidRPr="00584644">
              <w:t>IC</w:t>
            </w:r>
            <w:r w:rsidRPr="00584644">
              <w:rPr>
                <w:vertAlign w:val="subscript"/>
              </w:rPr>
              <w:t>50</w:t>
            </w:r>
            <w:r w:rsidRPr="00584644">
              <w:t xml:space="preserve"> (µM)</w:t>
            </w:r>
          </w:p>
        </w:tc>
      </w:tr>
      <w:tr w:rsidR="008F58CA" w:rsidTr="005079A7">
        <w:trPr>
          <w:trHeight w:val="242"/>
        </w:trPr>
        <w:tc>
          <w:tcPr>
            <w:tcW w:w="1276" w:type="dxa"/>
            <w:vAlign w:val="center"/>
          </w:tcPr>
          <w:p w:rsidR="008F58CA" w:rsidRPr="00113812" w:rsidRDefault="008F58CA" w:rsidP="005079A7">
            <w:pPr>
              <w:pStyle w:val="08ArticleText"/>
              <w:spacing w:before="120" w:after="120" w:line="240" w:lineRule="auto"/>
              <w:jc w:val="left"/>
              <w:rPr>
                <w:b/>
                <w:sz w:val="16"/>
                <w:szCs w:val="16"/>
              </w:rPr>
            </w:pPr>
            <w:r w:rsidRPr="00113812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693" w:type="dxa"/>
            <w:vAlign w:val="center"/>
          </w:tcPr>
          <w:p w:rsidR="008F58CA" w:rsidRPr="002B29BD" w:rsidRDefault="008F58CA" w:rsidP="005079A7">
            <w:pPr>
              <w:pStyle w:val="08ArticleText"/>
              <w:spacing w:line="240" w:lineRule="auto"/>
              <w:jc w:val="left"/>
              <w:rPr>
                <w:b/>
              </w:rPr>
            </w:pPr>
            <w:r w:rsidRPr="00601C0A">
              <w:object w:dxaOrig="1128" w:dyaOrig="269">
                <v:shape id="_x0000_i1032" type="#_x0000_t75" style="width:46.5pt;height:11.25pt" o:ole="">
                  <v:imagedata r:id="rId22" o:title=""/>
                </v:shape>
                <o:OLEObject Type="Embed" ProgID="ChemDraw.Document.6.0" ShapeID="_x0000_i1032" DrawAspect="Content" ObjectID="_1523862383" r:id="rId23"/>
              </w:object>
            </w:r>
          </w:p>
        </w:tc>
        <w:tc>
          <w:tcPr>
            <w:tcW w:w="993" w:type="dxa"/>
            <w:vAlign w:val="center"/>
          </w:tcPr>
          <w:p w:rsidR="008F58CA" w:rsidRPr="00113812" w:rsidRDefault="008F58CA" w:rsidP="005079A7">
            <w:pPr>
              <w:pStyle w:val="08ArticleText"/>
              <w:spacing w:line="240" w:lineRule="auto"/>
              <w:jc w:val="left"/>
              <w:rPr>
                <w:sz w:val="16"/>
                <w:szCs w:val="16"/>
              </w:rPr>
            </w:pPr>
            <w:r w:rsidRPr="00113812">
              <w:rPr>
                <w:sz w:val="16"/>
                <w:szCs w:val="16"/>
              </w:rPr>
              <w:t>1.0</w:t>
            </w:r>
          </w:p>
        </w:tc>
      </w:tr>
      <w:tr w:rsidR="008F58CA" w:rsidTr="005079A7">
        <w:tc>
          <w:tcPr>
            <w:tcW w:w="1276" w:type="dxa"/>
            <w:vAlign w:val="center"/>
          </w:tcPr>
          <w:p w:rsidR="008F58CA" w:rsidRPr="00113812" w:rsidRDefault="008F58CA" w:rsidP="005079A7">
            <w:pPr>
              <w:pStyle w:val="08ArticleText"/>
              <w:spacing w:before="120" w:after="120" w:line="240" w:lineRule="auto"/>
              <w:jc w:val="left"/>
              <w:rPr>
                <w:b/>
                <w:sz w:val="16"/>
                <w:szCs w:val="16"/>
              </w:rPr>
            </w:pPr>
            <w:r w:rsidRPr="00113812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693" w:type="dxa"/>
            <w:vAlign w:val="center"/>
          </w:tcPr>
          <w:p w:rsidR="008F58CA" w:rsidRPr="002B29BD" w:rsidRDefault="008F58CA" w:rsidP="005079A7">
            <w:pPr>
              <w:pStyle w:val="08ArticleText"/>
              <w:spacing w:line="240" w:lineRule="auto"/>
              <w:jc w:val="left"/>
              <w:rPr>
                <w:b/>
              </w:rPr>
            </w:pPr>
            <w:r w:rsidRPr="00601C0A">
              <w:object w:dxaOrig="1339" w:dyaOrig="269">
                <v:shape id="_x0000_i1033" type="#_x0000_t75" style="width:54pt;height:11.25pt" o:ole="">
                  <v:imagedata r:id="rId24" o:title=""/>
                </v:shape>
                <o:OLEObject Type="Embed" ProgID="ChemDraw.Document.6.0" ShapeID="_x0000_i1033" DrawAspect="Content" ObjectID="_1523862384" r:id="rId25"/>
              </w:object>
            </w:r>
          </w:p>
        </w:tc>
        <w:tc>
          <w:tcPr>
            <w:tcW w:w="993" w:type="dxa"/>
            <w:vAlign w:val="center"/>
          </w:tcPr>
          <w:p w:rsidR="008F58CA" w:rsidRPr="00113812" w:rsidRDefault="008F58CA" w:rsidP="005079A7">
            <w:pPr>
              <w:pStyle w:val="08ArticleText"/>
              <w:spacing w:line="240" w:lineRule="auto"/>
              <w:jc w:val="left"/>
              <w:rPr>
                <w:sz w:val="16"/>
                <w:szCs w:val="16"/>
              </w:rPr>
            </w:pPr>
            <w:r w:rsidRPr="00113812">
              <w:rPr>
                <w:sz w:val="16"/>
                <w:szCs w:val="16"/>
              </w:rPr>
              <w:t>3.1</w:t>
            </w:r>
          </w:p>
        </w:tc>
      </w:tr>
      <w:tr w:rsidR="008F58CA" w:rsidTr="005079A7">
        <w:tc>
          <w:tcPr>
            <w:tcW w:w="1276" w:type="dxa"/>
            <w:vAlign w:val="center"/>
          </w:tcPr>
          <w:p w:rsidR="008F58CA" w:rsidRPr="00113812" w:rsidRDefault="008F58CA" w:rsidP="005079A7">
            <w:pPr>
              <w:pStyle w:val="08ArticleText"/>
              <w:spacing w:before="120" w:after="120" w:line="240" w:lineRule="auto"/>
              <w:jc w:val="left"/>
              <w:rPr>
                <w:b/>
                <w:sz w:val="16"/>
                <w:szCs w:val="16"/>
              </w:rPr>
            </w:pPr>
            <w:r w:rsidRPr="00113812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693" w:type="dxa"/>
            <w:vAlign w:val="center"/>
          </w:tcPr>
          <w:p w:rsidR="008F58CA" w:rsidRPr="002B29BD" w:rsidRDefault="008F58CA" w:rsidP="005079A7">
            <w:pPr>
              <w:pStyle w:val="08ArticleText"/>
              <w:spacing w:line="240" w:lineRule="auto"/>
              <w:jc w:val="left"/>
              <w:rPr>
                <w:b/>
              </w:rPr>
            </w:pPr>
            <w:r w:rsidRPr="00601C0A">
              <w:object w:dxaOrig="917" w:dyaOrig="269">
                <v:shape id="_x0000_i1034" type="#_x0000_t75" style="width:37.5pt;height:11.25pt" o:ole="">
                  <v:imagedata r:id="rId26" o:title=""/>
                </v:shape>
                <o:OLEObject Type="Embed" ProgID="ChemDraw.Document.6.0" ShapeID="_x0000_i1034" DrawAspect="Content" ObjectID="_1523862385" r:id="rId27"/>
              </w:object>
            </w:r>
          </w:p>
        </w:tc>
        <w:tc>
          <w:tcPr>
            <w:tcW w:w="993" w:type="dxa"/>
            <w:vAlign w:val="center"/>
          </w:tcPr>
          <w:p w:rsidR="008F58CA" w:rsidRPr="00113812" w:rsidRDefault="008F58CA" w:rsidP="005079A7">
            <w:pPr>
              <w:pStyle w:val="08ArticleText"/>
              <w:spacing w:line="240" w:lineRule="auto"/>
              <w:jc w:val="left"/>
              <w:rPr>
                <w:sz w:val="16"/>
                <w:szCs w:val="16"/>
              </w:rPr>
            </w:pPr>
            <w:r w:rsidRPr="00113812">
              <w:rPr>
                <w:sz w:val="16"/>
                <w:szCs w:val="16"/>
              </w:rPr>
              <w:t>10</w:t>
            </w:r>
          </w:p>
        </w:tc>
      </w:tr>
      <w:tr w:rsidR="008F58CA" w:rsidTr="005079A7">
        <w:trPr>
          <w:trHeight w:val="216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F58CA" w:rsidRPr="00113812" w:rsidRDefault="008F58CA" w:rsidP="005079A7">
            <w:pPr>
              <w:pStyle w:val="08ArticleText"/>
              <w:spacing w:before="120" w:after="120" w:line="240" w:lineRule="auto"/>
              <w:jc w:val="left"/>
              <w:rPr>
                <w:b/>
                <w:sz w:val="16"/>
                <w:szCs w:val="16"/>
              </w:rPr>
            </w:pPr>
            <w:r w:rsidRPr="00113812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F58CA" w:rsidRPr="002B29BD" w:rsidRDefault="008F58CA" w:rsidP="005079A7">
            <w:pPr>
              <w:pStyle w:val="08ArticleText"/>
              <w:spacing w:line="240" w:lineRule="auto"/>
              <w:jc w:val="left"/>
              <w:rPr>
                <w:b/>
              </w:rPr>
            </w:pPr>
            <w:r>
              <w:object w:dxaOrig="1387" w:dyaOrig="269">
                <v:shape id="_x0000_i1035" type="#_x0000_t75" style="width:54.75pt;height:11.25pt" o:ole="">
                  <v:imagedata r:id="rId28" o:title=""/>
                </v:shape>
                <o:OLEObject Type="Embed" ProgID="ChemDraw.Document.6.0" ShapeID="_x0000_i1035" DrawAspect="Content" ObjectID="_1523862386" r:id="rId29"/>
              </w:objec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F58CA" w:rsidRPr="00113812" w:rsidRDefault="008F58CA" w:rsidP="005079A7">
            <w:pPr>
              <w:pStyle w:val="08ArticleText"/>
              <w:spacing w:line="240" w:lineRule="auto"/>
              <w:jc w:val="left"/>
              <w:rPr>
                <w:sz w:val="16"/>
                <w:szCs w:val="16"/>
              </w:rPr>
            </w:pPr>
            <w:r w:rsidRPr="00113812">
              <w:rPr>
                <w:sz w:val="16"/>
                <w:szCs w:val="16"/>
              </w:rPr>
              <w:t>38</w:t>
            </w:r>
          </w:p>
        </w:tc>
      </w:tr>
    </w:tbl>
    <w:p w:rsidR="008F58CA" w:rsidRDefault="008F58CA" w:rsidP="008F58CA">
      <w:pPr>
        <w:pStyle w:val="08ArticleText"/>
        <w:spacing w:line="240" w:lineRule="auto"/>
      </w:pPr>
    </w:p>
    <w:p w:rsidR="008F58CA" w:rsidRDefault="008F58CA" w:rsidP="008F58CA">
      <w:pPr>
        <w:pStyle w:val="08ArticleText"/>
        <w:spacing w:line="240" w:lineRule="auto"/>
        <w:rPr>
          <w:b/>
          <w:noProof/>
          <w:lang w:val="lv-LV" w:eastAsia="lv-LV"/>
        </w:rPr>
      </w:pPr>
    </w:p>
    <w:p w:rsidR="008F58CA" w:rsidRDefault="008F58CA" w:rsidP="008F58CA">
      <w:pPr>
        <w:pStyle w:val="08ArticleText"/>
        <w:spacing w:line="240" w:lineRule="auto"/>
        <w:rPr>
          <w:b/>
        </w:rPr>
      </w:pPr>
    </w:p>
    <w:p w:rsidR="008F58CA" w:rsidRDefault="008F58CA" w:rsidP="008F58CA">
      <w:pPr>
        <w:pStyle w:val="08ArticleText"/>
        <w:spacing w:line="240" w:lineRule="auto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en-GB"/>
        </w:rPr>
        <w:lastRenderedPageBreak/>
        <w:drawing>
          <wp:inline distT="0" distB="0" distL="0" distR="0">
            <wp:extent cx="3171825" cy="2124075"/>
            <wp:effectExtent l="0" t="0" r="9525" b="9525"/>
            <wp:docPr id="1" name="Picture 1" descr="Figure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igure_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8CA" w:rsidRDefault="008F58CA" w:rsidP="008F58CA">
      <w:pPr>
        <w:pStyle w:val="ElsFigureCaption"/>
        <w:ind w:firstLine="0"/>
        <w:jc w:val="both"/>
      </w:pPr>
      <w:r w:rsidRPr="008F58CA">
        <w:rPr>
          <w:b/>
        </w:rPr>
        <w:t xml:space="preserve">Figure 3. </w:t>
      </w:r>
      <w:r w:rsidRPr="008F58CA">
        <w:t xml:space="preserve">Binding mode of compound </w:t>
      </w:r>
      <w:r w:rsidRPr="008F58CA">
        <w:rPr>
          <w:b/>
        </w:rPr>
        <w:t xml:space="preserve">6 </w:t>
      </w:r>
      <w:r w:rsidRPr="008F58CA">
        <w:t xml:space="preserve">in </w:t>
      </w:r>
      <w:r w:rsidRPr="008F58CA">
        <w:rPr>
          <w:lang w:val="lv-LV"/>
        </w:rPr>
        <w:t>PfSUB1 (PDB code: 4LVO)</w:t>
      </w:r>
      <w:r w:rsidRPr="008F58CA">
        <w:t xml:space="preserve"> obtained by docking calculations using the GOLD docking program. Hydrogen</w:t>
      </w:r>
      <w:r w:rsidRPr="002B29BD">
        <w:t xml:space="preserve"> bon</w:t>
      </w:r>
      <w:r>
        <w:t>d</w:t>
      </w:r>
      <w:r w:rsidRPr="002B29BD">
        <w:t>s between the compound and the PfSUB1 structure are indicated by yellow dashed lines</w:t>
      </w:r>
    </w:p>
    <w:p w:rsidR="008F58CA" w:rsidRDefault="008F58CA" w:rsidP="008F58CA">
      <w:pPr>
        <w:pStyle w:val="ElsParagraph"/>
      </w:pPr>
    </w:p>
    <w:p w:rsidR="008F58CA" w:rsidRPr="008F58CA" w:rsidRDefault="008F58CA" w:rsidP="008F58CA">
      <w:pPr>
        <w:pStyle w:val="ElsParagraph"/>
      </w:pPr>
      <w:r w:rsidRPr="008F58CA">
        <w:t>The SAR of prime side components in PfSUB1 inhibitors was investigated next, guided by results obtained from molecular dynamics (MD) simulations of PfSUB1 bound to different substrates</w:t>
      </w:r>
      <w:r w:rsidRPr="008F58CA">
        <w:rPr>
          <w:vertAlign w:val="superscript"/>
        </w:rPr>
        <w:t>24</w:t>
      </w:r>
      <w:r w:rsidRPr="008F58CA">
        <w:t xml:space="preserve"> and the binding mode of compound </w:t>
      </w:r>
      <w:r w:rsidRPr="008F58CA">
        <w:rPr>
          <w:b/>
        </w:rPr>
        <w:t>6</w:t>
      </w:r>
      <w:r w:rsidRPr="008F58CA">
        <w:t xml:space="preserve"> in the active site of </w:t>
      </w:r>
      <w:r w:rsidRPr="008F58CA">
        <w:rPr>
          <w:lang w:val="lv-LV"/>
        </w:rPr>
        <w:t>PfSUB1</w:t>
      </w:r>
      <w:r w:rsidRPr="008F58CA">
        <w:t xml:space="preserve">obtained by docking </w:t>
      </w:r>
      <w:r w:rsidRPr="008F58CA">
        <w:rPr>
          <w:color w:val="000000" w:themeColor="text1"/>
        </w:rPr>
        <w:t>calculations using the X-ray structure of the enzyme</w:t>
      </w:r>
      <w:r w:rsidRPr="008F58CA">
        <w:t xml:space="preserve"> (Figure 3).</w:t>
      </w:r>
      <w:r w:rsidRPr="008F58CA">
        <w:rPr>
          <w:vertAlign w:val="superscript"/>
        </w:rPr>
        <w:t>25</w:t>
      </w:r>
      <w:r w:rsidRPr="008F58CA">
        <w:t xml:space="preserve"> MD simulation studies indicated that the P</w:t>
      </w:r>
      <w:r w:rsidRPr="008F58CA">
        <w:rPr>
          <w:vertAlign w:val="subscript"/>
        </w:rPr>
        <w:t>5</w:t>
      </w:r>
      <w:r w:rsidRPr="008F58CA">
        <w:t xml:space="preserve"> substituent might not provide an important contribution to the binding free energy.</w:t>
      </w:r>
      <w:r w:rsidRPr="008F58CA">
        <w:rPr>
          <w:vertAlign w:val="superscript"/>
        </w:rPr>
        <w:t>24</w:t>
      </w:r>
      <w:r w:rsidRPr="008F58CA">
        <w:t xml:space="preserve"> On this basis, compound </w:t>
      </w:r>
      <w:r w:rsidRPr="008F58CA">
        <w:rPr>
          <w:b/>
        </w:rPr>
        <w:t>12</w:t>
      </w:r>
      <w:r w:rsidRPr="008F58CA">
        <w:t xml:space="preserve"> (Table 2) lacking a P</w:t>
      </w:r>
      <w:r w:rsidRPr="008F58CA">
        <w:rPr>
          <w:vertAlign w:val="subscript"/>
        </w:rPr>
        <w:t>5</w:t>
      </w:r>
      <w:r w:rsidRPr="008F58CA">
        <w:t xml:space="preserve"> lysine residue was </w:t>
      </w:r>
      <w:proofErr w:type="spellStart"/>
      <w:r w:rsidRPr="008F58CA">
        <w:t>synthesised</w:t>
      </w:r>
      <w:proofErr w:type="spellEnd"/>
      <w:r w:rsidRPr="008F58CA">
        <w:t xml:space="preserve"> and found to display about two times lower enzymatic activity compared to the original inhibitor </w:t>
      </w:r>
      <w:r w:rsidRPr="008F58CA">
        <w:rPr>
          <w:b/>
        </w:rPr>
        <w:t>6</w:t>
      </w:r>
      <w:r w:rsidRPr="008F58CA">
        <w:t xml:space="preserve">. However, the structure of </w:t>
      </w:r>
      <w:r w:rsidRPr="008F58CA">
        <w:rPr>
          <w:b/>
        </w:rPr>
        <w:t>12</w:t>
      </w:r>
      <w:r w:rsidRPr="008F58CA">
        <w:t xml:space="preserve"> was considerably simplified, facilitating synthesis of analogues and further SAR studies.</w:t>
      </w:r>
    </w:p>
    <w:p w:rsidR="008F58CA" w:rsidRPr="00EC35A7" w:rsidRDefault="008F58CA" w:rsidP="008F58CA">
      <w:pPr>
        <w:pStyle w:val="08ArticleText"/>
        <w:spacing w:line="240" w:lineRule="auto"/>
        <w:rPr>
          <w:sz w:val="20"/>
          <w:szCs w:val="20"/>
        </w:rPr>
      </w:pPr>
      <w:r w:rsidRPr="008F58CA">
        <w:rPr>
          <w:b/>
          <w:sz w:val="20"/>
          <w:szCs w:val="20"/>
        </w:rPr>
        <w:t>Table 2.</w:t>
      </w:r>
      <w:r w:rsidRPr="008F58CA">
        <w:rPr>
          <w:sz w:val="20"/>
          <w:szCs w:val="20"/>
        </w:rPr>
        <w:t xml:space="preserve"> Deletion of the P</w:t>
      </w:r>
      <w:r w:rsidRPr="008F58CA">
        <w:rPr>
          <w:sz w:val="20"/>
          <w:szCs w:val="20"/>
          <w:vertAlign w:val="subscript"/>
        </w:rPr>
        <w:t>5</w:t>
      </w:r>
      <w:r w:rsidRPr="008F58CA">
        <w:rPr>
          <w:sz w:val="20"/>
          <w:szCs w:val="20"/>
        </w:rPr>
        <w:t xml:space="preserve"> amino acid and importance of P</w:t>
      </w:r>
      <w:r w:rsidRPr="008F58CA">
        <w:rPr>
          <w:sz w:val="20"/>
          <w:szCs w:val="20"/>
          <w:vertAlign w:val="subscript"/>
        </w:rPr>
        <w:t>2</w:t>
      </w:r>
      <w:r w:rsidRPr="008F58CA">
        <w:rPr>
          <w:sz w:val="20"/>
          <w:szCs w:val="20"/>
        </w:rPr>
        <w:t>-P</w:t>
      </w:r>
      <w:r w:rsidRPr="008F58CA">
        <w:rPr>
          <w:sz w:val="20"/>
          <w:szCs w:val="20"/>
          <w:vertAlign w:val="subscript"/>
        </w:rPr>
        <w:t xml:space="preserve">4 </w:t>
      </w:r>
      <w:r w:rsidRPr="008F58CA">
        <w:rPr>
          <w:sz w:val="20"/>
          <w:szCs w:val="20"/>
        </w:rPr>
        <w:t xml:space="preserve">amino acids in </w:t>
      </w:r>
      <w:proofErr w:type="spellStart"/>
      <w:r w:rsidRPr="008F58CA">
        <w:rPr>
          <w:sz w:val="20"/>
          <w:szCs w:val="20"/>
        </w:rPr>
        <w:t>peptidic</w:t>
      </w:r>
      <w:proofErr w:type="spellEnd"/>
      <w:r w:rsidRPr="008F58CA">
        <w:rPr>
          <w:sz w:val="20"/>
          <w:szCs w:val="20"/>
        </w:rPr>
        <w:t xml:space="preserve"> </w:t>
      </w:r>
      <w:r w:rsidRPr="008F58CA">
        <w:rPr>
          <w:rFonts w:ascii="Symbol" w:hAnsi="Symbol"/>
          <w:sz w:val="20"/>
          <w:szCs w:val="20"/>
        </w:rPr>
        <w:t></w:t>
      </w:r>
      <w:r w:rsidRPr="008F58CA">
        <w:rPr>
          <w:rFonts w:ascii="Symbol" w:hAnsi="Symbol"/>
          <w:sz w:val="20"/>
          <w:szCs w:val="20"/>
        </w:rPr>
        <w:t></w:t>
      </w:r>
      <w:proofErr w:type="spellStart"/>
      <w:r w:rsidRPr="008F58CA">
        <w:rPr>
          <w:sz w:val="20"/>
          <w:szCs w:val="20"/>
        </w:rPr>
        <w:t>ketoamide</w:t>
      </w:r>
      <w:proofErr w:type="spellEnd"/>
      <w:r w:rsidRPr="008F58CA">
        <w:rPr>
          <w:sz w:val="20"/>
          <w:szCs w:val="20"/>
        </w:rPr>
        <w:t xml:space="preserve"> PfSUB1 inhibitors.</w:t>
      </w:r>
    </w:p>
    <w:p w:rsidR="008F58CA" w:rsidRPr="008F58CA" w:rsidRDefault="008F58CA" w:rsidP="008F58CA">
      <w:pPr>
        <w:pStyle w:val="08ArticleText"/>
        <w:spacing w:line="240" w:lineRule="auto"/>
        <w:jc w:val="center"/>
      </w:pPr>
      <w:r w:rsidRPr="008F58CA">
        <w:object w:dxaOrig="4471" w:dyaOrig="1774">
          <v:shape id="_x0000_i1037" type="#_x0000_t75" style="width:180.75pt;height:71.25pt" o:ole="">
            <v:imagedata r:id="rId31" o:title=""/>
          </v:shape>
          <o:OLEObject Type="Embed" ProgID="ChemDraw.Document.6.0" ShapeID="_x0000_i1037" DrawAspect="Content" ObjectID="_1523862387" r:id="rId32"/>
        </w:object>
      </w:r>
    </w:p>
    <w:p w:rsidR="008F58CA" w:rsidRPr="008F58CA" w:rsidRDefault="008F58CA" w:rsidP="008F58CA">
      <w:pPr>
        <w:pStyle w:val="08ArticleText"/>
        <w:spacing w:line="240" w:lineRule="auto"/>
      </w:pPr>
    </w:p>
    <w:tbl>
      <w:tblPr>
        <w:tblW w:w="5103" w:type="dxa"/>
        <w:tblInd w:w="108" w:type="dxa"/>
        <w:tblLayout w:type="fixed"/>
        <w:tblLook w:val="00BF" w:firstRow="1" w:lastRow="0" w:firstColumn="1" w:lastColumn="0" w:noHBand="0" w:noVBand="0"/>
      </w:tblPr>
      <w:tblGrid>
        <w:gridCol w:w="709"/>
        <w:gridCol w:w="992"/>
        <w:gridCol w:w="1134"/>
        <w:gridCol w:w="1276"/>
        <w:gridCol w:w="992"/>
      </w:tblGrid>
      <w:tr w:rsidR="008F58CA" w:rsidRPr="008F58CA" w:rsidTr="005079A7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F58CA" w:rsidRPr="008F58CA" w:rsidRDefault="008F58CA" w:rsidP="005079A7">
            <w:pPr>
              <w:pStyle w:val="ElsLegend"/>
            </w:pPr>
            <w:proofErr w:type="spellStart"/>
            <w:r w:rsidRPr="008F58CA">
              <w:t>Cmpd</w:t>
            </w:r>
            <w:proofErr w:type="spellEnd"/>
            <w:r w:rsidRPr="008F58CA"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F58CA" w:rsidRPr="008F58CA" w:rsidRDefault="008F58CA" w:rsidP="005079A7">
            <w:pPr>
              <w:pStyle w:val="ElsLegend"/>
            </w:pPr>
            <w:r w:rsidRPr="008F58CA">
              <w:t>R</w:t>
            </w:r>
            <w:r w:rsidRPr="008F58CA">
              <w:rPr>
                <w:vertAlign w:val="subscript"/>
              </w:rPr>
              <w:t>3</w:t>
            </w:r>
            <w:r w:rsidRPr="008F58CA">
              <w:t>, R</w:t>
            </w:r>
            <w:r w:rsidRPr="008F58CA">
              <w:rPr>
                <w:vertAlign w:val="subscript"/>
              </w:rPr>
              <w:t>4</w:t>
            </w:r>
            <w:r w:rsidRPr="008F58CA">
              <w:t xml:space="preserve"> (P</w:t>
            </w:r>
            <w:r w:rsidRPr="008F58CA">
              <w:rPr>
                <w:vertAlign w:val="subscript"/>
              </w:rPr>
              <w:t>2</w:t>
            </w:r>
            <w:r w:rsidRPr="008F58CA"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58CA" w:rsidRPr="008F58CA" w:rsidRDefault="008F58CA" w:rsidP="005079A7">
            <w:pPr>
              <w:pStyle w:val="ElsLegend"/>
            </w:pPr>
            <w:r w:rsidRPr="008F58CA">
              <w:t>R</w:t>
            </w:r>
            <w:r w:rsidRPr="008F58CA">
              <w:rPr>
                <w:vertAlign w:val="subscript"/>
              </w:rPr>
              <w:t xml:space="preserve">5 </w:t>
            </w:r>
            <w:r w:rsidRPr="008F58CA">
              <w:t>(P</w:t>
            </w:r>
            <w:r w:rsidRPr="008F58CA">
              <w:rPr>
                <w:vertAlign w:val="subscript"/>
              </w:rPr>
              <w:t>3</w:t>
            </w:r>
            <w:r w:rsidRPr="008F58CA"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F58CA" w:rsidRPr="008F58CA" w:rsidRDefault="008F58CA" w:rsidP="005079A7">
            <w:pPr>
              <w:pStyle w:val="ElsLegend"/>
            </w:pPr>
            <w:r w:rsidRPr="008F58CA">
              <w:t>R</w:t>
            </w:r>
            <w:r w:rsidRPr="008F58CA">
              <w:rPr>
                <w:vertAlign w:val="subscript"/>
              </w:rPr>
              <w:t>6</w:t>
            </w:r>
            <w:r w:rsidRPr="008F58CA">
              <w:t xml:space="preserve"> (P</w:t>
            </w:r>
            <w:r w:rsidRPr="008F58CA">
              <w:rPr>
                <w:vertAlign w:val="subscript"/>
              </w:rPr>
              <w:t>4</w:t>
            </w:r>
            <w:r w:rsidRPr="008F58CA"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F58CA" w:rsidRPr="008F58CA" w:rsidRDefault="008F58CA" w:rsidP="005079A7">
            <w:pPr>
              <w:pStyle w:val="ElsLegend"/>
            </w:pPr>
            <w:r w:rsidRPr="008F58CA">
              <w:t>IC</w:t>
            </w:r>
            <w:r w:rsidRPr="008F58CA">
              <w:rPr>
                <w:vertAlign w:val="subscript"/>
              </w:rPr>
              <w:t>50</w:t>
            </w:r>
            <w:r w:rsidRPr="008F58CA">
              <w:t xml:space="preserve"> (µM)</w:t>
            </w:r>
          </w:p>
        </w:tc>
      </w:tr>
      <w:tr w:rsidR="008F58CA" w:rsidRPr="008F58CA" w:rsidTr="005079A7">
        <w:trPr>
          <w:trHeight w:val="242"/>
        </w:trPr>
        <w:tc>
          <w:tcPr>
            <w:tcW w:w="709" w:type="dxa"/>
            <w:vAlign w:val="center"/>
          </w:tcPr>
          <w:p w:rsidR="008F58CA" w:rsidRPr="008F58CA" w:rsidRDefault="008F58CA" w:rsidP="005079A7">
            <w:pPr>
              <w:pStyle w:val="08ArticleText"/>
              <w:spacing w:before="120" w:after="120" w:line="240" w:lineRule="auto"/>
              <w:jc w:val="left"/>
              <w:rPr>
                <w:b/>
              </w:rPr>
            </w:pPr>
            <w:r w:rsidRPr="008F58CA">
              <w:rPr>
                <w:b/>
              </w:rPr>
              <w:t>12</w:t>
            </w:r>
          </w:p>
        </w:tc>
        <w:tc>
          <w:tcPr>
            <w:tcW w:w="992" w:type="dxa"/>
            <w:vAlign w:val="center"/>
          </w:tcPr>
          <w:p w:rsidR="008F58CA" w:rsidRPr="008F58CA" w:rsidRDefault="008F58CA" w:rsidP="005079A7">
            <w:pPr>
              <w:pStyle w:val="08ArticleText"/>
              <w:spacing w:before="120" w:after="120" w:line="240" w:lineRule="auto"/>
              <w:jc w:val="left"/>
              <w:rPr>
                <w:sz w:val="16"/>
                <w:szCs w:val="16"/>
              </w:rPr>
            </w:pPr>
            <w:r w:rsidRPr="008F58CA">
              <w:rPr>
                <w:sz w:val="16"/>
                <w:szCs w:val="16"/>
              </w:rPr>
              <w:t>Me, H</w:t>
            </w:r>
          </w:p>
        </w:tc>
        <w:tc>
          <w:tcPr>
            <w:tcW w:w="1134" w:type="dxa"/>
            <w:vAlign w:val="center"/>
          </w:tcPr>
          <w:p w:rsidR="008F58CA" w:rsidRPr="008F58CA" w:rsidRDefault="008F58CA" w:rsidP="005079A7">
            <w:pPr>
              <w:pStyle w:val="08ArticleText"/>
              <w:spacing w:line="240" w:lineRule="auto"/>
              <w:jc w:val="left"/>
            </w:pPr>
            <w:r w:rsidRPr="008F58CA">
              <w:object w:dxaOrig="816" w:dyaOrig="492">
                <v:shape id="_x0000_i1038" type="#_x0000_t75" style="width:30.75pt;height:19.5pt" o:ole="">
                  <v:imagedata r:id="rId33" o:title=""/>
                </v:shape>
                <o:OLEObject Type="Embed" ProgID="ChemDraw.Document.6.0" ShapeID="_x0000_i1038" DrawAspect="Content" ObjectID="_1523862388" r:id="rId34"/>
              </w:object>
            </w:r>
          </w:p>
        </w:tc>
        <w:tc>
          <w:tcPr>
            <w:tcW w:w="1276" w:type="dxa"/>
          </w:tcPr>
          <w:p w:rsidR="008F58CA" w:rsidRPr="008F58CA" w:rsidRDefault="008F58CA" w:rsidP="005079A7">
            <w:pPr>
              <w:pStyle w:val="08ArticleText"/>
              <w:spacing w:line="240" w:lineRule="auto"/>
              <w:jc w:val="left"/>
              <w:rPr>
                <w:sz w:val="16"/>
                <w:szCs w:val="16"/>
              </w:rPr>
            </w:pPr>
            <w:r w:rsidRPr="008F58CA">
              <w:object w:dxaOrig="1013" w:dyaOrig="504">
                <v:shape id="_x0000_i1039" type="#_x0000_t75" style="width:40.5pt;height:20.25pt" o:ole="">
                  <v:imagedata r:id="rId35" o:title=""/>
                </v:shape>
                <o:OLEObject Type="Embed" ProgID="ChemDraw.Document.6.0" ShapeID="_x0000_i1039" DrawAspect="Content" ObjectID="_1523862389" r:id="rId36"/>
              </w:object>
            </w:r>
          </w:p>
        </w:tc>
        <w:tc>
          <w:tcPr>
            <w:tcW w:w="992" w:type="dxa"/>
            <w:vAlign w:val="center"/>
          </w:tcPr>
          <w:p w:rsidR="008F58CA" w:rsidRPr="008F58CA" w:rsidRDefault="008F58CA" w:rsidP="005079A7">
            <w:pPr>
              <w:pStyle w:val="08ArticleText"/>
              <w:spacing w:line="240" w:lineRule="auto"/>
              <w:jc w:val="left"/>
              <w:rPr>
                <w:sz w:val="16"/>
                <w:szCs w:val="16"/>
              </w:rPr>
            </w:pPr>
            <w:r w:rsidRPr="008F58CA">
              <w:rPr>
                <w:sz w:val="16"/>
                <w:szCs w:val="16"/>
              </w:rPr>
              <w:t>2.5±0.1</w:t>
            </w:r>
          </w:p>
        </w:tc>
      </w:tr>
      <w:tr w:rsidR="008F58CA" w:rsidRPr="008F58CA" w:rsidTr="005079A7">
        <w:tc>
          <w:tcPr>
            <w:tcW w:w="709" w:type="dxa"/>
            <w:vAlign w:val="center"/>
          </w:tcPr>
          <w:p w:rsidR="008F58CA" w:rsidRPr="008F58CA" w:rsidRDefault="008F58CA" w:rsidP="005079A7">
            <w:pPr>
              <w:pStyle w:val="08ArticleText"/>
              <w:spacing w:before="120" w:after="120" w:line="240" w:lineRule="auto"/>
              <w:jc w:val="left"/>
              <w:rPr>
                <w:b/>
              </w:rPr>
            </w:pPr>
            <w:r w:rsidRPr="008F58CA">
              <w:rPr>
                <w:b/>
              </w:rPr>
              <w:t>13</w:t>
            </w:r>
          </w:p>
        </w:tc>
        <w:tc>
          <w:tcPr>
            <w:tcW w:w="992" w:type="dxa"/>
            <w:vAlign w:val="center"/>
          </w:tcPr>
          <w:p w:rsidR="008F58CA" w:rsidRPr="008F58CA" w:rsidRDefault="008F58CA" w:rsidP="005079A7">
            <w:pPr>
              <w:pStyle w:val="08ArticleText"/>
              <w:spacing w:before="120" w:after="120" w:line="240" w:lineRule="auto"/>
              <w:jc w:val="left"/>
              <w:rPr>
                <w:sz w:val="16"/>
                <w:szCs w:val="16"/>
              </w:rPr>
            </w:pPr>
            <w:r w:rsidRPr="008F58CA">
              <w:rPr>
                <w:sz w:val="16"/>
                <w:szCs w:val="16"/>
              </w:rPr>
              <w:t>Me, Me</w:t>
            </w:r>
          </w:p>
        </w:tc>
        <w:tc>
          <w:tcPr>
            <w:tcW w:w="1134" w:type="dxa"/>
          </w:tcPr>
          <w:p w:rsidR="008F58CA" w:rsidRPr="008F58CA" w:rsidRDefault="008F58CA" w:rsidP="005079A7">
            <w:pPr>
              <w:pStyle w:val="08ArticleText"/>
              <w:spacing w:line="240" w:lineRule="auto"/>
              <w:jc w:val="left"/>
              <w:rPr>
                <w:sz w:val="16"/>
                <w:szCs w:val="16"/>
              </w:rPr>
            </w:pPr>
            <w:r w:rsidRPr="008F58CA">
              <w:object w:dxaOrig="816" w:dyaOrig="492">
                <v:shape id="_x0000_i1040" type="#_x0000_t75" style="width:30.75pt;height:19.5pt" o:ole="">
                  <v:imagedata r:id="rId33" o:title=""/>
                </v:shape>
                <o:OLEObject Type="Embed" ProgID="ChemDraw.Document.6.0" ShapeID="_x0000_i1040" DrawAspect="Content" ObjectID="_1523862390" r:id="rId37"/>
              </w:object>
            </w:r>
          </w:p>
        </w:tc>
        <w:tc>
          <w:tcPr>
            <w:tcW w:w="1276" w:type="dxa"/>
          </w:tcPr>
          <w:p w:rsidR="008F58CA" w:rsidRPr="008F58CA" w:rsidRDefault="008F58CA" w:rsidP="005079A7">
            <w:pPr>
              <w:pStyle w:val="08ArticleText"/>
              <w:spacing w:line="240" w:lineRule="auto"/>
              <w:jc w:val="left"/>
              <w:rPr>
                <w:sz w:val="16"/>
                <w:szCs w:val="16"/>
              </w:rPr>
            </w:pPr>
            <w:r w:rsidRPr="008F58CA">
              <w:object w:dxaOrig="1013" w:dyaOrig="504">
                <v:shape id="_x0000_i1041" type="#_x0000_t75" style="width:40.5pt;height:20.25pt" o:ole="">
                  <v:imagedata r:id="rId35" o:title=""/>
                </v:shape>
                <o:OLEObject Type="Embed" ProgID="ChemDraw.Document.6.0" ShapeID="_x0000_i1041" DrawAspect="Content" ObjectID="_1523862391" r:id="rId38"/>
              </w:object>
            </w:r>
          </w:p>
        </w:tc>
        <w:tc>
          <w:tcPr>
            <w:tcW w:w="992" w:type="dxa"/>
            <w:vAlign w:val="center"/>
          </w:tcPr>
          <w:p w:rsidR="008F58CA" w:rsidRPr="008F58CA" w:rsidRDefault="008F58CA" w:rsidP="005079A7">
            <w:pPr>
              <w:pStyle w:val="08ArticleText"/>
              <w:spacing w:line="240" w:lineRule="auto"/>
              <w:jc w:val="left"/>
              <w:rPr>
                <w:sz w:val="16"/>
                <w:szCs w:val="16"/>
              </w:rPr>
            </w:pPr>
            <w:r w:rsidRPr="008F58CA">
              <w:rPr>
                <w:sz w:val="16"/>
                <w:szCs w:val="16"/>
              </w:rPr>
              <w:t>&gt;50</w:t>
            </w:r>
          </w:p>
        </w:tc>
      </w:tr>
      <w:tr w:rsidR="008F58CA" w:rsidRPr="008F58CA" w:rsidTr="005079A7">
        <w:tc>
          <w:tcPr>
            <w:tcW w:w="709" w:type="dxa"/>
            <w:vAlign w:val="center"/>
          </w:tcPr>
          <w:p w:rsidR="008F58CA" w:rsidRPr="008F58CA" w:rsidRDefault="008F58CA" w:rsidP="005079A7">
            <w:pPr>
              <w:pStyle w:val="08ArticleText"/>
              <w:spacing w:before="120" w:after="120" w:line="240" w:lineRule="auto"/>
              <w:jc w:val="left"/>
              <w:rPr>
                <w:b/>
              </w:rPr>
            </w:pPr>
            <w:r w:rsidRPr="008F58CA">
              <w:rPr>
                <w:b/>
              </w:rPr>
              <w:t>14</w:t>
            </w:r>
          </w:p>
        </w:tc>
        <w:tc>
          <w:tcPr>
            <w:tcW w:w="992" w:type="dxa"/>
            <w:vAlign w:val="center"/>
          </w:tcPr>
          <w:p w:rsidR="008F58CA" w:rsidRPr="008F58CA" w:rsidRDefault="008F58CA" w:rsidP="005079A7">
            <w:pPr>
              <w:pStyle w:val="08ArticleText"/>
              <w:spacing w:before="120" w:after="120" w:line="240" w:lineRule="auto"/>
              <w:jc w:val="left"/>
              <w:rPr>
                <w:sz w:val="16"/>
                <w:szCs w:val="16"/>
              </w:rPr>
            </w:pPr>
            <w:r w:rsidRPr="008F58CA">
              <w:rPr>
                <w:sz w:val="16"/>
                <w:szCs w:val="16"/>
              </w:rPr>
              <w:t>CH</w:t>
            </w:r>
            <w:r w:rsidRPr="008F58CA">
              <w:rPr>
                <w:sz w:val="16"/>
                <w:szCs w:val="16"/>
                <w:vertAlign w:val="subscript"/>
              </w:rPr>
              <w:t>2</w:t>
            </w:r>
            <w:r w:rsidRPr="008F58CA">
              <w:rPr>
                <w:sz w:val="16"/>
                <w:szCs w:val="16"/>
              </w:rPr>
              <w:t>CH</w:t>
            </w:r>
            <w:r w:rsidRPr="008F58CA">
              <w:rPr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134" w:type="dxa"/>
          </w:tcPr>
          <w:p w:rsidR="008F58CA" w:rsidRPr="008F58CA" w:rsidRDefault="008F58CA" w:rsidP="005079A7">
            <w:pPr>
              <w:pStyle w:val="08ArticleText"/>
              <w:spacing w:line="240" w:lineRule="auto"/>
              <w:jc w:val="left"/>
              <w:rPr>
                <w:sz w:val="16"/>
                <w:szCs w:val="16"/>
              </w:rPr>
            </w:pPr>
            <w:r w:rsidRPr="008F58CA">
              <w:object w:dxaOrig="816" w:dyaOrig="492">
                <v:shape id="_x0000_i1042" type="#_x0000_t75" style="width:30.75pt;height:19.5pt" o:ole="">
                  <v:imagedata r:id="rId33" o:title=""/>
                </v:shape>
                <o:OLEObject Type="Embed" ProgID="ChemDraw.Document.6.0" ShapeID="_x0000_i1042" DrawAspect="Content" ObjectID="_1523862392" r:id="rId39"/>
              </w:object>
            </w:r>
          </w:p>
        </w:tc>
        <w:tc>
          <w:tcPr>
            <w:tcW w:w="1276" w:type="dxa"/>
          </w:tcPr>
          <w:p w:rsidR="008F58CA" w:rsidRPr="008F58CA" w:rsidRDefault="008F58CA" w:rsidP="005079A7">
            <w:pPr>
              <w:pStyle w:val="08ArticleText"/>
              <w:spacing w:line="240" w:lineRule="auto"/>
              <w:jc w:val="left"/>
              <w:rPr>
                <w:sz w:val="16"/>
                <w:szCs w:val="16"/>
              </w:rPr>
            </w:pPr>
            <w:r w:rsidRPr="008F58CA">
              <w:object w:dxaOrig="1013" w:dyaOrig="504">
                <v:shape id="_x0000_i1043" type="#_x0000_t75" style="width:40.5pt;height:20.25pt" o:ole="">
                  <v:imagedata r:id="rId35" o:title=""/>
                </v:shape>
                <o:OLEObject Type="Embed" ProgID="ChemDraw.Document.6.0" ShapeID="_x0000_i1043" DrawAspect="Content" ObjectID="_1523862393" r:id="rId40"/>
              </w:object>
            </w:r>
          </w:p>
        </w:tc>
        <w:tc>
          <w:tcPr>
            <w:tcW w:w="992" w:type="dxa"/>
            <w:vAlign w:val="center"/>
          </w:tcPr>
          <w:p w:rsidR="008F58CA" w:rsidRPr="008F58CA" w:rsidRDefault="008F58CA" w:rsidP="005079A7">
            <w:pPr>
              <w:pStyle w:val="08ArticleText"/>
              <w:spacing w:line="240" w:lineRule="auto"/>
              <w:jc w:val="left"/>
              <w:rPr>
                <w:sz w:val="16"/>
                <w:szCs w:val="16"/>
              </w:rPr>
            </w:pPr>
            <w:r w:rsidRPr="008F58CA">
              <w:rPr>
                <w:sz w:val="16"/>
                <w:szCs w:val="16"/>
              </w:rPr>
              <w:t>&gt;50</w:t>
            </w:r>
          </w:p>
        </w:tc>
      </w:tr>
      <w:tr w:rsidR="008F58CA" w:rsidRPr="008F58CA" w:rsidTr="005079A7">
        <w:trPr>
          <w:trHeight w:val="216"/>
        </w:trPr>
        <w:tc>
          <w:tcPr>
            <w:tcW w:w="709" w:type="dxa"/>
            <w:vAlign w:val="center"/>
          </w:tcPr>
          <w:p w:rsidR="008F58CA" w:rsidRPr="008F58CA" w:rsidRDefault="008F58CA" w:rsidP="005079A7">
            <w:pPr>
              <w:pStyle w:val="08ArticleText"/>
              <w:spacing w:before="120" w:after="120" w:line="240" w:lineRule="auto"/>
              <w:jc w:val="left"/>
              <w:rPr>
                <w:b/>
              </w:rPr>
            </w:pPr>
            <w:r w:rsidRPr="008F58CA">
              <w:rPr>
                <w:b/>
              </w:rPr>
              <w:t>15</w:t>
            </w:r>
          </w:p>
        </w:tc>
        <w:tc>
          <w:tcPr>
            <w:tcW w:w="992" w:type="dxa"/>
            <w:vAlign w:val="center"/>
          </w:tcPr>
          <w:p w:rsidR="008F58CA" w:rsidRPr="008F58CA" w:rsidRDefault="008F58CA" w:rsidP="005079A7">
            <w:pPr>
              <w:pStyle w:val="08ArticleText"/>
              <w:spacing w:before="120" w:after="120" w:line="240" w:lineRule="auto"/>
              <w:jc w:val="left"/>
              <w:rPr>
                <w:sz w:val="16"/>
                <w:szCs w:val="16"/>
              </w:rPr>
            </w:pPr>
            <w:r w:rsidRPr="008F58CA">
              <w:rPr>
                <w:sz w:val="16"/>
                <w:szCs w:val="16"/>
              </w:rPr>
              <w:t>H, H</w:t>
            </w:r>
          </w:p>
        </w:tc>
        <w:tc>
          <w:tcPr>
            <w:tcW w:w="1134" w:type="dxa"/>
          </w:tcPr>
          <w:p w:rsidR="008F58CA" w:rsidRPr="008F58CA" w:rsidRDefault="008F58CA" w:rsidP="005079A7">
            <w:pPr>
              <w:pStyle w:val="08ArticleText"/>
              <w:spacing w:line="240" w:lineRule="auto"/>
              <w:jc w:val="left"/>
              <w:rPr>
                <w:sz w:val="16"/>
                <w:szCs w:val="16"/>
              </w:rPr>
            </w:pPr>
            <w:r w:rsidRPr="008F58CA">
              <w:object w:dxaOrig="816" w:dyaOrig="492">
                <v:shape id="_x0000_i1044" type="#_x0000_t75" style="width:30.75pt;height:19.5pt" o:ole="">
                  <v:imagedata r:id="rId33" o:title=""/>
                </v:shape>
                <o:OLEObject Type="Embed" ProgID="ChemDraw.Document.6.0" ShapeID="_x0000_i1044" DrawAspect="Content" ObjectID="_1523862394" r:id="rId41"/>
              </w:object>
            </w:r>
          </w:p>
        </w:tc>
        <w:tc>
          <w:tcPr>
            <w:tcW w:w="1276" w:type="dxa"/>
          </w:tcPr>
          <w:p w:rsidR="008F58CA" w:rsidRPr="008F58CA" w:rsidRDefault="008F58CA" w:rsidP="005079A7">
            <w:pPr>
              <w:pStyle w:val="08ArticleText"/>
              <w:spacing w:line="240" w:lineRule="auto"/>
              <w:jc w:val="left"/>
              <w:rPr>
                <w:sz w:val="16"/>
                <w:szCs w:val="16"/>
              </w:rPr>
            </w:pPr>
            <w:r w:rsidRPr="008F58CA">
              <w:object w:dxaOrig="1013" w:dyaOrig="504">
                <v:shape id="_x0000_i1045" type="#_x0000_t75" style="width:40.5pt;height:20.25pt" o:ole="">
                  <v:imagedata r:id="rId35" o:title=""/>
                </v:shape>
                <o:OLEObject Type="Embed" ProgID="ChemDraw.Document.6.0" ShapeID="_x0000_i1045" DrawAspect="Content" ObjectID="_1523862395" r:id="rId42"/>
              </w:object>
            </w:r>
          </w:p>
        </w:tc>
        <w:tc>
          <w:tcPr>
            <w:tcW w:w="992" w:type="dxa"/>
            <w:vAlign w:val="center"/>
          </w:tcPr>
          <w:p w:rsidR="008F58CA" w:rsidRPr="008F58CA" w:rsidRDefault="008F58CA" w:rsidP="005079A7">
            <w:pPr>
              <w:pStyle w:val="08ArticleText"/>
              <w:spacing w:line="240" w:lineRule="auto"/>
              <w:jc w:val="left"/>
              <w:rPr>
                <w:sz w:val="16"/>
                <w:szCs w:val="16"/>
              </w:rPr>
            </w:pPr>
            <w:r w:rsidRPr="008F58CA">
              <w:rPr>
                <w:sz w:val="16"/>
                <w:szCs w:val="16"/>
              </w:rPr>
              <w:t>0.9±0.2</w:t>
            </w:r>
          </w:p>
        </w:tc>
      </w:tr>
      <w:tr w:rsidR="008F58CA" w:rsidRPr="008F58CA" w:rsidTr="005079A7">
        <w:trPr>
          <w:trHeight w:val="216"/>
        </w:trPr>
        <w:tc>
          <w:tcPr>
            <w:tcW w:w="709" w:type="dxa"/>
            <w:vAlign w:val="center"/>
          </w:tcPr>
          <w:p w:rsidR="008F58CA" w:rsidRPr="008F58CA" w:rsidRDefault="008F58CA" w:rsidP="005079A7">
            <w:pPr>
              <w:pStyle w:val="08ArticleText"/>
              <w:spacing w:before="120" w:after="120" w:line="240" w:lineRule="auto"/>
              <w:jc w:val="left"/>
              <w:rPr>
                <w:b/>
              </w:rPr>
            </w:pPr>
            <w:r w:rsidRPr="008F58CA">
              <w:rPr>
                <w:b/>
              </w:rPr>
              <w:t>16</w:t>
            </w:r>
          </w:p>
        </w:tc>
        <w:tc>
          <w:tcPr>
            <w:tcW w:w="992" w:type="dxa"/>
            <w:vAlign w:val="center"/>
          </w:tcPr>
          <w:p w:rsidR="008F58CA" w:rsidRPr="008F58CA" w:rsidRDefault="008F58CA" w:rsidP="005079A7">
            <w:pPr>
              <w:pStyle w:val="08ArticleText"/>
              <w:spacing w:before="120" w:after="120" w:line="240" w:lineRule="auto"/>
              <w:jc w:val="left"/>
              <w:rPr>
                <w:sz w:val="16"/>
                <w:szCs w:val="16"/>
              </w:rPr>
            </w:pPr>
            <w:r w:rsidRPr="008F58CA">
              <w:rPr>
                <w:sz w:val="16"/>
                <w:szCs w:val="16"/>
              </w:rPr>
              <w:t>Me, H</w:t>
            </w:r>
          </w:p>
        </w:tc>
        <w:tc>
          <w:tcPr>
            <w:tcW w:w="1134" w:type="dxa"/>
          </w:tcPr>
          <w:p w:rsidR="008F58CA" w:rsidRPr="008F58CA" w:rsidRDefault="008F58CA" w:rsidP="005079A7">
            <w:pPr>
              <w:pStyle w:val="08ArticleText"/>
              <w:spacing w:before="120" w:line="240" w:lineRule="auto"/>
              <w:jc w:val="left"/>
              <w:rPr>
                <w:sz w:val="16"/>
                <w:szCs w:val="16"/>
              </w:rPr>
            </w:pPr>
            <w:r w:rsidRPr="008F58CA">
              <w:rPr>
                <w:sz w:val="16"/>
                <w:szCs w:val="16"/>
              </w:rPr>
              <w:t>Me</w:t>
            </w:r>
          </w:p>
        </w:tc>
        <w:tc>
          <w:tcPr>
            <w:tcW w:w="1276" w:type="dxa"/>
          </w:tcPr>
          <w:p w:rsidR="008F58CA" w:rsidRPr="008F58CA" w:rsidRDefault="008F58CA" w:rsidP="005079A7">
            <w:pPr>
              <w:pStyle w:val="08ArticleText"/>
              <w:spacing w:line="240" w:lineRule="auto"/>
              <w:jc w:val="left"/>
              <w:rPr>
                <w:sz w:val="16"/>
                <w:szCs w:val="16"/>
              </w:rPr>
            </w:pPr>
            <w:r w:rsidRPr="008F58CA">
              <w:object w:dxaOrig="1013" w:dyaOrig="504">
                <v:shape id="_x0000_i1046" type="#_x0000_t75" style="width:40.5pt;height:20.25pt" o:ole="">
                  <v:imagedata r:id="rId35" o:title=""/>
                </v:shape>
                <o:OLEObject Type="Embed" ProgID="ChemDraw.Document.6.0" ShapeID="_x0000_i1046" DrawAspect="Content" ObjectID="_1523862396" r:id="rId43"/>
              </w:object>
            </w:r>
          </w:p>
        </w:tc>
        <w:tc>
          <w:tcPr>
            <w:tcW w:w="992" w:type="dxa"/>
            <w:vAlign w:val="center"/>
          </w:tcPr>
          <w:p w:rsidR="008F58CA" w:rsidRPr="008F58CA" w:rsidRDefault="008F58CA" w:rsidP="005079A7">
            <w:pPr>
              <w:pStyle w:val="08ArticleText"/>
              <w:spacing w:line="240" w:lineRule="auto"/>
              <w:jc w:val="left"/>
              <w:rPr>
                <w:sz w:val="16"/>
                <w:szCs w:val="16"/>
              </w:rPr>
            </w:pPr>
            <w:r w:rsidRPr="008F58CA">
              <w:rPr>
                <w:sz w:val="16"/>
                <w:szCs w:val="16"/>
              </w:rPr>
              <w:t>30±1</w:t>
            </w:r>
          </w:p>
        </w:tc>
      </w:tr>
      <w:tr w:rsidR="008F58CA" w:rsidRPr="008F58CA" w:rsidTr="005079A7">
        <w:trPr>
          <w:trHeight w:val="216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F58CA" w:rsidRPr="008F58CA" w:rsidRDefault="008F58CA" w:rsidP="005079A7">
            <w:pPr>
              <w:pStyle w:val="08ArticleText"/>
              <w:spacing w:before="120" w:after="120" w:line="240" w:lineRule="auto"/>
              <w:jc w:val="left"/>
              <w:rPr>
                <w:b/>
                <w:sz w:val="16"/>
                <w:szCs w:val="16"/>
              </w:rPr>
            </w:pPr>
            <w:r w:rsidRPr="008F58CA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F58CA" w:rsidRPr="008F58CA" w:rsidRDefault="008F58CA" w:rsidP="005079A7">
            <w:pPr>
              <w:pStyle w:val="08ArticleText"/>
              <w:spacing w:before="120" w:after="120" w:line="240" w:lineRule="auto"/>
              <w:jc w:val="left"/>
              <w:rPr>
                <w:sz w:val="16"/>
                <w:szCs w:val="16"/>
              </w:rPr>
            </w:pPr>
            <w:r w:rsidRPr="008F58CA">
              <w:rPr>
                <w:sz w:val="16"/>
                <w:szCs w:val="16"/>
              </w:rPr>
              <w:t>H, H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58CA" w:rsidRPr="008F58CA" w:rsidRDefault="008F58CA" w:rsidP="005079A7">
            <w:pPr>
              <w:pStyle w:val="08ArticleText"/>
              <w:spacing w:line="240" w:lineRule="auto"/>
              <w:jc w:val="left"/>
              <w:rPr>
                <w:sz w:val="16"/>
                <w:szCs w:val="16"/>
              </w:rPr>
            </w:pPr>
            <w:r w:rsidRPr="008F58CA">
              <w:object w:dxaOrig="816" w:dyaOrig="492">
                <v:shape id="_x0000_i1047" type="#_x0000_t75" style="width:30.75pt;height:19.5pt" o:ole="">
                  <v:imagedata r:id="rId33" o:title=""/>
                </v:shape>
                <o:OLEObject Type="Embed" ProgID="ChemDraw.Document.6.0" ShapeID="_x0000_i1047" DrawAspect="Content" ObjectID="_1523862397" r:id="rId44"/>
              </w:objec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F58CA" w:rsidRPr="008F58CA" w:rsidRDefault="008F58CA" w:rsidP="005079A7">
            <w:pPr>
              <w:pStyle w:val="08ArticleText"/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8F58CA">
              <w:rPr>
                <w:sz w:val="16"/>
                <w:szCs w:val="16"/>
              </w:rPr>
              <w:t>Me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F58CA" w:rsidRPr="008F58CA" w:rsidRDefault="008F58CA" w:rsidP="005079A7">
            <w:pPr>
              <w:pStyle w:val="08ArticleText"/>
              <w:spacing w:line="240" w:lineRule="auto"/>
              <w:jc w:val="left"/>
              <w:rPr>
                <w:sz w:val="16"/>
                <w:szCs w:val="16"/>
              </w:rPr>
            </w:pPr>
            <w:r w:rsidRPr="008F58CA">
              <w:rPr>
                <w:sz w:val="16"/>
                <w:szCs w:val="16"/>
              </w:rPr>
              <w:t>&gt;50</w:t>
            </w:r>
          </w:p>
        </w:tc>
      </w:tr>
    </w:tbl>
    <w:p w:rsidR="008F58CA" w:rsidRPr="008F58CA" w:rsidRDefault="008F58CA" w:rsidP="008F58CA">
      <w:pPr>
        <w:pStyle w:val="08ArticleText"/>
        <w:spacing w:line="240" w:lineRule="auto"/>
      </w:pPr>
    </w:p>
    <w:p w:rsidR="008F58CA" w:rsidRPr="008F58CA" w:rsidRDefault="008F58CA" w:rsidP="008F58CA">
      <w:pPr>
        <w:pStyle w:val="ElsParagraph"/>
      </w:pPr>
      <w:r w:rsidRPr="008F58CA">
        <w:t>Based on modeling of substrate binding</w:t>
      </w:r>
      <w:r w:rsidRPr="008F58CA">
        <w:rPr>
          <w:vertAlign w:val="superscript"/>
        </w:rPr>
        <w:t>24</w:t>
      </w:r>
      <w:r w:rsidRPr="008F58CA">
        <w:t xml:space="preserve"> and molecular docking of </w:t>
      </w:r>
      <w:r w:rsidRPr="008F58CA">
        <w:rPr>
          <w:b/>
        </w:rPr>
        <w:t>6</w:t>
      </w:r>
      <w:r w:rsidRPr="008F58CA">
        <w:t xml:space="preserve"> (Figure 3), the P</w:t>
      </w:r>
      <w:r w:rsidRPr="008F58CA">
        <w:rPr>
          <w:vertAlign w:val="subscript"/>
        </w:rPr>
        <w:t>2</w:t>
      </w:r>
      <w:r w:rsidRPr="008F58CA">
        <w:t xml:space="preserve"> position appears restricted to small amino acids such as alanine or glycine. Other small acids such as </w:t>
      </w:r>
      <w:r w:rsidRPr="008F58CA">
        <w:rPr>
          <w:rFonts w:ascii="Symbol" w:hAnsi="Symbol"/>
        </w:rPr>
        <w:t></w:t>
      </w:r>
      <w:r w:rsidRPr="008F58CA">
        <w:t xml:space="preserve">-Me-alanine and 1-aminocyclopropylcarboxylic acid were incorporated instead of alanine, but this resulted in inactive compounds (Table 2, compounds </w:t>
      </w:r>
      <w:r w:rsidRPr="008F58CA">
        <w:rPr>
          <w:b/>
        </w:rPr>
        <w:t>13</w:t>
      </w:r>
      <w:r w:rsidRPr="008F58CA">
        <w:t xml:space="preserve"> and </w:t>
      </w:r>
      <w:r w:rsidRPr="008F58CA">
        <w:rPr>
          <w:b/>
        </w:rPr>
        <w:t>14</w:t>
      </w:r>
      <w:r w:rsidRPr="008F58CA">
        <w:t>). In contrast, incorporation of glycine instead of alanine in P</w:t>
      </w:r>
      <w:r w:rsidRPr="008F58CA">
        <w:rPr>
          <w:vertAlign w:val="subscript"/>
        </w:rPr>
        <w:t>2</w:t>
      </w:r>
      <w:r w:rsidRPr="008F58CA">
        <w:t xml:space="preserve"> position was </w:t>
      </w:r>
      <w:r w:rsidRPr="008F58CA">
        <w:t xml:space="preserve">beneficial leading to compound </w:t>
      </w:r>
      <w:r w:rsidRPr="008F58CA">
        <w:rPr>
          <w:b/>
        </w:rPr>
        <w:t>15</w:t>
      </w:r>
      <w:r w:rsidRPr="008F58CA">
        <w:t xml:space="preserve"> with slightly </w:t>
      </w:r>
      <w:proofErr w:type="gramStart"/>
      <w:r w:rsidRPr="008F58CA">
        <w:t>increased  inhibitory</w:t>
      </w:r>
      <w:proofErr w:type="gramEnd"/>
      <w:r w:rsidRPr="008F58CA">
        <w:t xml:space="preserve"> activity compared to analogue </w:t>
      </w:r>
      <w:r w:rsidRPr="008F58CA">
        <w:rPr>
          <w:b/>
        </w:rPr>
        <w:t>12</w:t>
      </w:r>
      <w:r w:rsidRPr="008F58CA">
        <w:t xml:space="preserve"> (Table 2). The importance of the P</w:t>
      </w:r>
      <w:r w:rsidRPr="008F58CA">
        <w:rPr>
          <w:vertAlign w:val="subscript"/>
        </w:rPr>
        <w:t>3</w:t>
      </w:r>
      <w:r w:rsidRPr="008F58CA">
        <w:t xml:space="preserve"> and P</w:t>
      </w:r>
      <w:r w:rsidRPr="008F58CA">
        <w:rPr>
          <w:vertAlign w:val="subscript"/>
        </w:rPr>
        <w:t>4</w:t>
      </w:r>
      <w:r w:rsidRPr="008F58CA">
        <w:t xml:space="preserve"> residues was investigated by substitution with alanine (Table 2, compounds </w:t>
      </w:r>
      <w:r w:rsidRPr="008F58CA">
        <w:rPr>
          <w:b/>
        </w:rPr>
        <w:t>16</w:t>
      </w:r>
      <w:r w:rsidRPr="008F58CA">
        <w:t xml:space="preserve"> and </w:t>
      </w:r>
      <w:r w:rsidRPr="008F58CA">
        <w:rPr>
          <w:b/>
        </w:rPr>
        <w:t>17</w:t>
      </w:r>
      <w:r w:rsidRPr="008F58CA">
        <w:t xml:space="preserve">) According to substrate binding and inhibitor </w:t>
      </w:r>
      <w:r w:rsidRPr="008F58CA">
        <w:rPr>
          <w:b/>
        </w:rPr>
        <w:t>6</w:t>
      </w:r>
      <w:r w:rsidRPr="008F58CA">
        <w:t xml:space="preserve"> docking studies, the side chain of P</w:t>
      </w:r>
      <w:r w:rsidRPr="008F58CA">
        <w:rPr>
          <w:vertAlign w:val="subscript"/>
        </w:rPr>
        <w:t>3</w:t>
      </w:r>
      <w:r w:rsidRPr="008F58CA">
        <w:t xml:space="preserve"> points away from the binding site towards the solvent. The decreased inhibitory activity of </w:t>
      </w:r>
      <w:r w:rsidRPr="008F58CA">
        <w:rPr>
          <w:b/>
        </w:rPr>
        <w:t>16</w:t>
      </w:r>
      <w:r w:rsidRPr="008F58CA">
        <w:t xml:space="preserve"> can be explained by an increased </w:t>
      </w:r>
      <w:proofErr w:type="spellStart"/>
      <w:r w:rsidRPr="008F58CA">
        <w:t>solvatation</w:t>
      </w:r>
      <w:proofErr w:type="spellEnd"/>
      <w:r w:rsidRPr="008F58CA">
        <w:t xml:space="preserve"> penalty resulting from replacing the polar threonine side chain with a methyl group. On the other hand, the isoleucine in P</w:t>
      </w:r>
      <w:r w:rsidRPr="008F58CA">
        <w:rPr>
          <w:vertAlign w:val="subscript"/>
        </w:rPr>
        <w:t>4</w:t>
      </w:r>
      <w:r w:rsidRPr="008F58CA">
        <w:rPr>
          <w:shd w:val="clear" w:color="auto" w:fill="FFFFFF"/>
        </w:rPr>
        <w:t xml:space="preserve"> is well accommodated by the hydrophobic S</w:t>
      </w:r>
      <w:r w:rsidRPr="008F58CA">
        <w:rPr>
          <w:shd w:val="clear" w:color="auto" w:fill="FFFFFF"/>
          <w:vertAlign w:val="subscript"/>
        </w:rPr>
        <w:t>4</w:t>
      </w:r>
      <w:r w:rsidRPr="008F58CA">
        <w:rPr>
          <w:shd w:val="clear" w:color="auto" w:fill="FFFFFF"/>
        </w:rPr>
        <w:t xml:space="preserve"> pocket. Changing its side chain to a methyl group likely results in loss of </w:t>
      </w:r>
      <w:proofErr w:type="spellStart"/>
      <w:r w:rsidRPr="008F58CA">
        <w:rPr>
          <w:shd w:val="clear" w:color="auto" w:fill="FFFFFF"/>
        </w:rPr>
        <w:t>favourable</w:t>
      </w:r>
      <w:proofErr w:type="spellEnd"/>
      <w:r w:rsidRPr="008F58CA">
        <w:rPr>
          <w:shd w:val="clear" w:color="auto" w:fill="FFFFFF"/>
        </w:rPr>
        <w:t xml:space="preserve"> Van der Waals interactions, explaining the low potency of compound </w:t>
      </w:r>
      <w:r w:rsidRPr="008F58CA">
        <w:rPr>
          <w:b/>
          <w:shd w:val="clear" w:color="auto" w:fill="FFFFFF"/>
        </w:rPr>
        <w:t>17</w:t>
      </w:r>
      <w:r w:rsidRPr="008F58CA">
        <w:rPr>
          <w:szCs w:val="23"/>
          <w:shd w:val="clear" w:color="auto" w:fill="FFFFFF"/>
        </w:rPr>
        <w:t>.</w:t>
      </w:r>
    </w:p>
    <w:p w:rsidR="008F58CA" w:rsidRPr="008F58CA" w:rsidRDefault="008F58CA" w:rsidP="008F58CA">
      <w:pPr>
        <w:pStyle w:val="ElsParagraph"/>
      </w:pPr>
      <w:r w:rsidRPr="008F58CA">
        <w:t>To investigate the importance of the P</w:t>
      </w:r>
      <w:r w:rsidRPr="008F58CA">
        <w:rPr>
          <w:vertAlign w:val="subscript"/>
        </w:rPr>
        <w:t>1</w:t>
      </w:r>
      <w:r w:rsidRPr="008F58CA">
        <w:t xml:space="preserve"> substituent, we initially attempted preparation of compound </w:t>
      </w:r>
      <w:r w:rsidRPr="008F58CA">
        <w:rPr>
          <w:b/>
        </w:rPr>
        <w:t>18</w:t>
      </w:r>
      <w:r w:rsidRPr="008F58CA">
        <w:t xml:space="preserve"> (Figure 4) which bears a glutamine side chain in the P</w:t>
      </w:r>
      <w:r w:rsidRPr="008F58CA">
        <w:rPr>
          <w:vertAlign w:val="subscript"/>
        </w:rPr>
        <w:t>1</w:t>
      </w:r>
      <w:r w:rsidRPr="008F58CA">
        <w:t xml:space="preserve"> position as in the preferred KITAQ/DDEES substrate sequence. </w:t>
      </w:r>
      <w:proofErr w:type="gramStart"/>
      <w:r w:rsidRPr="008F58CA">
        <w:t>Unfortunately</w:t>
      </w:r>
      <w:proofErr w:type="gramEnd"/>
      <w:r w:rsidRPr="008F58CA">
        <w:t xml:space="preserve"> we discovered that the glutamine side chain is not compatible with the electrophilic </w:t>
      </w:r>
      <w:proofErr w:type="spellStart"/>
      <w:r w:rsidRPr="008F58CA">
        <w:t>keto</w:t>
      </w:r>
      <w:proofErr w:type="spellEnd"/>
      <w:r w:rsidRPr="008F58CA">
        <w:t xml:space="preserve"> group. The characteristic </w:t>
      </w:r>
      <w:r w:rsidRPr="008F58CA">
        <w:rPr>
          <w:rFonts w:ascii="Symbol" w:hAnsi="Symbol"/>
        </w:rPr>
        <w:t></w:t>
      </w:r>
      <w:r w:rsidRPr="008F58CA">
        <w:rPr>
          <w:rFonts w:ascii="Symbol" w:hAnsi="Symbol"/>
        </w:rPr>
        <w:t></w:t>
      </w:r>
      <w:r w:rsidRPr="008F58CA">
        <w:t xml:space="preserve">proton signal </w:t>
      </w:r>
      <w:r w:rsidRPr="008F58CA">
        <w:rPr>
          <w:szCs w:val="19"/>
        </w:rPr>
        <w:t xml:space="preserve">of the </w:t>
      </w:r>
      <w:r w:rsidRPr="008F58CA">
        <w:rPr>
          <w:rFonts w:ascii="Symbol" w:hAnsi="Symbol"/>
          <w:szCs w:val="19"/>
        </w:rPr>
        <w:t></w:t>
      </w:r>
      <w:r w:rsidRPr="008F58CA">
        <w:rPr>
          <w:rFonts w:ascii="Symbol" w:hAnsi="Symbol"/>
          <w:szCs w:val="19"/>
        </w:rPr>
        <w:t></w:t>
      </w:r>
      <w:proofErr w:type="spellStart"/>
      <w:r w:rsidRPr="008F58CA">
        <w:rPr>
          <w:szCs w:val="19"/>
        </w:rPr>
        <w:t>ketomide</w:t>
      </w:r>
      <w:proofErr w:type="spellEnd"/>
      <w:r w:rsidRPr="008F58CA">
        <w:rPr>
          <w:szCs w:val="19"/>
        </w:rPr>
        <w:t xml:space="preserve"> was shifted up-field after protecting groups in a precursor were cleaved off, indicating the disappearance of an adjacent carbonyl group</w:t>
      </w:r>
      <w:r w:rsidRPr="008F58CA">
        <w:t xml:space="preserve"> The structurally simplified model compound </w:t>
      </w:r>
      <w:r w:rsidRPr="008F58CA">
        <w:rPr>
          <w:b/>
        </w:rPr>
        <w:t xml:space="preserve">33 </w:t>
      </w:r>
      <w:r w:rsidRPr="008F58CA">
        <w:t xml:space="preserve">was prepared from precursor </w:t>
      </w:r>
      <w:r w:rsidRPr="008F58CA">
        <w:rPr>
          <w:b/>
        </w:rPr>
        <w:t xml:space="preserve">32 </w:t>
      </w:r>
      <w:r w:rsidRPr="008F58CA">
        <w:t>(Scheme 5).</w:t>
      </w:r>
      <w:r w:rsidRPr="008F58CA">
        <w:rPr>
          <w:b/>
        </w:rPr>
        <w:t xml:space="preserve"> </w:t>
      </w:r>
      <w:r w:rsidRPr="008F58CA">
        <w:t xml:space="preserve">Compound </w:t>
      </w:r>
      <w:r w:rsidRPr="008F58CA">
        <w:rPr>
          <w:b/>
        </w:rPr>
        <w:t>33</w:t>
      </w:r>
      <w:r w:rsidRPr="008F58CA">
        <w:t xml:space="preserve"> was investigated by 2D NMR using TOCSY and HMBC methods which revealed that the equilibrium is shifted to a cyclic tautomer of </w:t>
      </w:r>
      <w:r w:rsidRPr="008F58CA">
        <w:rPr>
          <w:b/>
        </w:rPr>
        <w:t xml:space="preserve">33b </w:t>
      </w:r>
      <w:r w:rsidRPr="008F58CA">
        <w:t xml:space="preserve">and only ~5% of </w:t>
      </w:r>
      <w:r w:rsidRPr="008F58CA">
        <w:rPr>
          <w:b/>
        </w:rPr>
        <w:t xml:space="preserve">33a </w:t>
      </w:r>
      <w:r w:rsidRPr="008F58CA">
        <w:t xml:space="preserve">was present in the solution. The formation of cyclic tautomer is expected also in the case of compound </w:t>
      </w:r>
      <w:r w:rsidRPr="008F58CA">
        <w:rPr>
          <w:b/>
        </w:rPr>
        <w:t xml:space="preserve">18 </w:t>
      </w:r>
      <w:r w:rsidRPr="008F58CA">
        <w:t xml:space="preserve">which may explain its unexpectedly low enzyme inhibitory activity. </w:t>
      </w:r>
    </w:p>
    <w:p w:rsidR="008F58CA" w:rsidRPr="008F58CA" w:rsidRDefault="008F58CA" w:rsidP="008F58CA">
      <w:pPr>
        <w:pStyle w:val="08ArticleText"/>
        <w:spacing w:line="240" w:lineRule="auto"/>
      </w:pPr>
    </w:p>
    <w:p w:rsidR="008F58CA" w:rsidRPr="008F58CA" w:rsidRDefault="008F58CA" w:rsidP="008F58CA">
      <w:pPr>
        <w:pStyle w:val="08ArticleText"/>
        <w:spacing w:line="240" w:lineRule="auto"/>
        <w:jc w:val="center"/>
      </w:pPr>
      <w:r w:rsidRPr="008F58CA">
        <w:object w:dxaOrig="4995" w:dyaOrig="1973">
          <v:shape id="_x0000_i1048" type="#_x0000_t75" style="width:198.75pt;height:78.75pt" o:ole="">
            <v:imagedata r:id="rId45" o:title=""/>
          </v:shape>
          <o:OLEObject Type="Embed" ProgID="ChemDraw.Document.6.0" ShapeID="_x0000_i1048" DrawAspect="Content" ObjectID="_1523862398" r:id="rId46"/>
        </w:object>
      </w:r>
    </w:p>
    <w:p w:rsidR="008F58CA" w:rsidRPr="008F58CA" w:rsidRDefault="008F58CA" w:rsidP="008F58CA">
      <w:pPr>
        <w:pStyle w:val="08ArticleText"/>
        <w:spacing w:line="240" w:lineRule="auto"/>
      </w:pPr>
    </w:p>
    <w:p w:rsidR="008F58CA" w:rsidRPr="008F58CA" w:rsidRDefault="008F58CA" w:rsidP="008F58CA">
      <w:pPr>
        <w:pStyle w:val="08ArticleText"/>
        <w:spacing w:line="240" w:lineRule="auto"/>
        <w:rPr>
          <w:sz w:val="16"/>
          <w:szCs w:val="16"/>
        </w:rPr>
      </w:pPr>
      <w:r w:rsidRPr="008F58CA">
        <w:rPr>
          <w:b/>
          <w:sz w:val="16"/>
          <w:szCs w:val="16"/>
        </w:rPr>
        <w:t xml:space="preserve">Figure 4. </w:t>
      </w:r>
      <w:r w:rsidRPr="008F58CA">
        <w:rPr>
          <w:rFonts w:ascii="Symbol" w:hAnsi="Symbol"/>
          <w:sz w:val="16"/>
          <w:szCs w:val="16"/>
        </w:rPr>
        <w:t></w:t>
      </w:r>
      <w:r w:rsidRPr="008F58CA">
        <w:rPr>
          <w:rFonts w:ascii="Symbol" w:hAnsi="Symbol"/>
          <w:sz w:val="16"/>
          <w:szCs w:val="16"/>
        </w:rPr>
        <w:t></w:t>
      </w:r>
      <w:proofErr w:type="spellStart"/>
      <w:r w:rsidRPr="008F58CA">
        <w:rPr>
          <w:sz w:val="16"/>
          <w:szCs w:val="16"/>
        </w:rPr>
        <w:t>ketoamide</w:t>
      </w:r>
      <w:proofErr w:type="spellEnd"/>
      <w:r w:rsidRPr="008F58CA">
        <w:rPr>
          <w:sz w:val="16"/>
          <w:szCs w:val="16"/>
        </w:rPr>
        <w:t xml:space="preserve"> </w:t>
      </w:r>
      <w:r w:rsidRPr="008F58CA">
        <w:rPr>
          <w:b/>
          <w:sz w:val="16"/>
          <w:szCs w:val="16"/>
        </w:rPr>
        <w:t>18</w:t>
      </w:r>
      <w:r w:rsidRPr="008F58CA">
        <w:rPr>
          <w:sz w:val="16"/>
          <w:szCs w:val="16"/>
        </w:rPr>
        <w:t xml:space="preserve"> bearing a glutamine P</w:t>
      </w:r>
      <w:r w:rsidRPr="008F58CA">
        <w:rPr>
          <w:sz w:val="16"/>
          <w:szCs w:val="16"/>
          <w:vertAlign w:val="subscript"/>
        </w:rPr>
        <w:t>1</w:t>
      </w:r>
      <w:r w:rsidRPr="008F58CA">
        <w:rPr>
          <w:sz w:val="16"/>
          <w:szCs w:val="16"/>
        </w:rPr>
        <w:t xml:space="preserve"> side chain as an analogue of the KITAQ substrate prime side sequence.</w:t>
      </w:r>
    </w:p>
    <w:p w:rsidR="008F58CA" w:rsidRPr="008F58CA" w:rsidRDefault="008F58CA" w:rsidP="008F58CA">
      <w:pPr>
        <w:pStyle w:val="08ArticleText"/>
        <w:spacing w:line="240" w:lineRule="auto"/>
        <w:rPr>
          <w:sz w:val="16"/>
          <w:szCs w:val="16"/>
        </w:rPr>
      </w:pPr>
    </w:p>
    <w:p w:rsidR="008F58CA" w:rsidRPr="008F58CA" w:rsidRDefault="008F58CA" w:rsidP="008F58CA">
      <w:pPr>
        <w:pStyle w:val="08ArticleText"/>
        <w:spacing w:line="240" w:lineRule="auto"/>
        <w:jc w:val="center"/>
      </w:pPr>
      <w:r w:rsidRPr="008F58CA">
        <w:object w:dxaOrig="5841" w:dyaOrig="2940">
          <v:shape id="_x0000_i1049" type="#_x0000_t75" style="width:234.75pt;height:117.75pt" o:ole="">
            <v:imagedata r:id="rId47" o:title=""/>
          </v:shape>
          <o:OLEObject Type="Embed" ProgID="ChemDraw.Document.6.0" ShapeID="_x0000_i1049" DrawAspect="Content" ObjectID="_1523862399" r:id="rId48"/>
        </w:object>
      </w:r>
    </w:p>
    <w:p w:rsidR="008F58CA" w:rsidRPr="008F58CA" w:rsidRDefault="008F58CA" w:rsidP="008F58CA">
      <w:pPr>
        <w:pStyle w:val="08ArticleText"/>
        <w:spacing w:line="240" w:lineRule="auto"/>
      </w:pPr>
    </w:p>
    <w:p w:rsidR="008F58CA" w:rsidRPr="008F58CA" w:rsidRDefault="008F58CA" w:rsidP="008F58CA">
      <w:pPr>
        <w:pStyle w:val="08ArticleText"/>
        <w:spacing w:line="240" w:lineRule="auto"/>
        <w:rPr>
          <w:sz w:val="16"/>
          <w:szCs w:val="16"/>
        </w:rPr>
      </w:pPr>
      <w:r w:rsidRPr="008F58CA">
        <w:rPr>
          <w:b/>
          <w:sz w:val="16"/>
          <w:szCs w:val="16"/>
        </w:rPr>
        <w:t xml:space="preserve">Scheme 5. </w:t>
      </w:r>
      <w:r w:rsidRPr="008F58CA">
        <w:rPr>
          <w:sz w:val="16"/>
          <w:szCs w:val="16"/>
        </w:rPr>
        <w:t xml:space="preserve">Synthesis of model </w:t>
      </w:r>
      <w:r w:rsidRPr="008F58CA">
        <w:rPr>
          <w:rFonts w:ascii="Symbol" w:hAnsi="Symbol"/>
          <w:sz w:val="16"/>
          <w:szCs w:val="16"/>
        </w:rPr>
        <w:t></w:t>
      </w:r>
      <w:r w:rsidRPr="008F58CA">
        <w:rPr>
          <w:rFonts w:ascii="Symbol" w:hAnsi="Symbol"/>
          <w:sz w:val="16"/>
          <w:szCs w:val="16"/>
        </w:rPr>
        <w:t></w:t>
      </w:r>
      <w:proofErr w:type="spellStart"/>
      <w:r w:rsidRPr="008F58CA">
        <w:rPr>
          <w:sz w:val="16"/>
          <w:szCs w:val="16"/>
        </w:rPr>
        <w:t>ketoamide</w:t>
      </w:r>
      <w:proofErr w:type="spellEnd"/>
      <w:r w:rsidRPr="008F58CA">
        <w:rPr>
          <w:sz w:val="16"/>
          <w:szCs w:val="16"/>
        </w:rPr>
        <w:t xml:space="preserve"> </w:t>
      </w:r>
      <w:r w:rsidRPr="008F58CA">
        <w:rPr>
          <w:b/>
          <w:sz w:val="16"/>
          <w:szCs w:val="16"/>
        </w:rPr>
        <w:t>33</w:t>
      </w:r>
      <w:r w:rsidRPr="008F58CA">
        <w:rPr>
          <w:sz w:val="16"/>
          <w:szCs w:val="16"/>
        </w:rPr>
        <w:t xml:space="preserve"> with a </w:t>
      </w:r>
      <w:proofErr w:type="spellStart"/>
      <w:r w:rsidRPr="008F58CA">
        <w:rPr>
          <w:sz w:val="16"/>
          <w:szCs w:val="16"/>
        </w:rPr>
        <w:t>deprotected</w:t>
      </w:r>
      <w:proofErr w:type="spellEnd"/>
      <w:r w:rsidRPr="008F58CA">
        <w:rPr>
          <w:sz w:val="16"/>
          <w:szCs w:val="16"/>
        </w:rPr>
        <w:t xml:space="preserve"> glutamine side chain (a)</w:t>
      </w:r>
      <w:r w:rsidRPr="008F58CA">
        <w:rPr>
          <w:b/>
          <w:sz w:val="16"/>
          <w:szCs w:val="16"/>
        </w:rPr>
        <w:t xml:space="preserve"> </w:t>
      </w:r>
      <w:proofErr w:type="gramStart"/>
      <w:r w:rsidRPr="008F58CA">
        <w:rPr>
          <w:sz w:val="16"/>
          <w:szCs w:val="16"/>
        </w:rPr>
        <w:t>TFA:DCM</w:t>
      </w:r>
      <w:proofErr w:type="gramEnd"/>
      <w:r w:rsidRPr="008F58CA">
        <w:rPr>
          <w:sz w:val="16"/>
          <w:szCs w:val="16"/>
        </w:rPr>
        <w:t xml:space="preserve"> (1:1).</w:t>
      </w:r>
    </w:p>
    <w:p w:rsidR="008F58CA" w:rsidRPr="008F58CA" w:rsidRDefault="008F58CA" w:rsidP="008F58CA">
      <w:pPr>
        <w:rPr>
          <w:sz w:val="16"/>
          <w:szCs w:val="16"/>
        </w:rPr>
      </w:pPr>
    </w:p>
    <w:p w:rsidR="008F58CA" w:rsidRPr="008F58CA" w:rsidRDefault="008F58CA" w:rsidP="008F58CA">
      <w:pPr>
        <w:pStyle w:val="ElsParagraph"/>
        <w:rPr>
          <w:szCs w:val="19"/>
        </w:rPr>
      </w:pPr>
      <w:r w:rsidRPr="008F58CA">
        <w:t xml:space="preserve">A limited series of </w:t>
      </w:r>
      <w:proofErr w:type="spellStart"/>
      <w:r w:rsidRPr="008F58CA">
        <w:t>pentapeptidic</w:t>
      </w:r>
      <w:proofErr w:type="spellEnd"/>
      <w:r w:rsidRPr="008F58CA">
        <w:t xml:space="preserve"> </w:t>
      </w:r>
      <w:r w:rsidRPr="008F58CA">
        <w:rPr>
          <w:rFonts w:ascii="Symbol" w:hAnsi="Symbol"/>
        </w:rPr>
        <w:t></w:t>
      </w:r>
      <w:r w:rsidRPr="008F58CA">
        <w:rPr>
          <w:rFonts w:ascii="Symbol" w:hAnsi="Symbol"/>
        </w:rPr>
        <w:t></w:t>
      </w:r>
      <w:proofErr w:type="spellStart"/>
      <w:r w:rsidRPr="008F58CA">
        <w:t>ketoamide</w:t>
      </w:r>
      <w:proofErr w:type="spellEnd"/>
      <w:r w:rsidRPr="008F58CA">
        <w:t xml:space="preserve"> analogues </w:t>
      </w:r>
      <w:r w:rsidRPr="008F58CA">
        <w:rPr>
          <w:b/>
        </w:rPr>
        <w:t xml:space="preserve">19-27 </w:t>
      </w:r>
      <w:r w:rsidRPr="008F58CA">
        <w:t>was prepared to explore the importance of the P</w:t>
      </w:r>
      <w:r w:rsidRPr="008F58CA">
        <w:rPr>
          <w:vertAlign w:val="subscript"/>
        </w:rPr>
        <w:t>1</w:t>
      </w:r>
      <w:r w:rsidRPr="008F58CA">
        <w:t xml:space="preserve"> side chain (Table 3). These studies showed that the S</w:t>
      </w:r>
      <w:r w:rsidRPr="008F58CA">
        <w:rPr>
          <w:vertAlign w:val="subscript"/>
        </w:rPr>
        <w:t>1</w:t>
      </w:r>
      <w:r w:rsidRPr="008F58CA">
        <w:t xml:space="preserve"> sub pocket can accommodate </w:t>
      </w:r>
      <w:proofErr w:type="gramStart"/>
      <w:r w:rsidRPr="008F58CA">
        <w:t xml:space="preserve">only  </w:t>
      </w:r>
      <w:r w:rsidRPr="008F58CA">
        <w:rPr>
          <w:lang w:val="lv-LV"/>
        </w:rPr>
        <w:t>relatively</w:t>
      </w:r>
      <w:proofErr w:type="gramEnd"/>
      <w:r w:rsidRPr="008F58CA">
        <w:t xml:space="preserve"> small substituents which is line with MD simulations.</w:t>
      </w:r>
      <w:r w:rsidRPr="008F58CA">
        <w:rPr>
          <w:vertAlign w:val="superscript"/>
        </w:rPr>
        <w:t>24</w:t>
      </w:r>
      <w:r w:rsidRPr="008F58CA">
        <w:t xml:space="preserve"> Only the ethyl group in the P</w:t>
      </w:r>
      <w:r w:rsidRPr="008F58CA">
        <w:rPr>
          <w:vertAlign w:val="subscript"/>
        </w:rPr>
        <w:t>1</w:t>
      </w:r>
      <w:r w:rsidRPr="008F58CA">
        <w:t xml:space="preserve"> position in compound </w:t>
      </w:r>
      <w:r w:rsidRPr="008F58CA">
        <w:rPr>
          <w:b/>
        </w:rPr>
        <w:t>25</w:t>
      </w:r>
      <w:r w:rsidRPr="008F58CA">
        <w:t xml:space="preserve"> produced a similar level of inhibitory activity as the methyl analogue </w:t>
      </w:r>
      <w:r w:rsidRPr="008F58CA">
        <w:rPr>
          <w:b/>
        </w:rPr>
        <w:t>15</w:t>
      </w:r>
      <w:r w:rsidRPr="008F58CA">
        <w:t xml:space="preserve">. Compound </w:t>
      </w:r>
      <w:r w:rsidRPr="008F58CA">
        <w:rPr>
          <w:b/>
        </w:rPr>
        <w:t>23</w:t>
      </w:r>
      <w:r w:rsidRPr="008F58CA">
        <w:t xml:space="preserve"> bearing an </w:t>
      </w:r>
      <w:proofErr w:type="gramStart"/>
      <w:r w:rsidRPr="008F58CA">
        <w:rPr>
          <w:i/>
        </w:rPr>
        <w:t>N,N</w:t>
      </w:r>
      <w:proofErr w:type="gramEnd"/>
      <w:r w:rsidRPr="008F58CA">
        <w:rPr>
          <w:i/>
        </w:rPr>
        <w:t>’</w:t>
      </w:r>
      <w:r w:rsidRPr="008F58CA">
        <w:t>-</w:t>
      </w:r>
      <w:proofErr w:type="spellStart"/>
      <w:r w:rsidRPr="008F58CA">
        <w:t>disubstituted</w:t>
      </w:r>
      <w:proofErr w:type="spellEnd"/>
      <w:r w:rsidRPr="008F58CA">
        <w:t xml:space="preserve"> glutamine side chain and compound </w:t>
      </w:r>
      <w:r w:rsidRPr="008F58CA">
        <w:rPr>
          <w:b/>
        </w:rPr>
        <w:t>24</w:t>
      </w:r>
      <w:r w:rsidRPr="008F58CA">
        <w:t xml:space="preserve"> with its glutamine side chain constrained in the lactam cycle were prepared as analogues not able to form a cyclic </w:t>
      </w:r>
      <w:proofErr w:type="spellStart"/>
      <w:r w:rsidRPr="008F58CA">
        <w:t>tautomers</w:t>
      </w:r>
      <w:proofErr w:type="spellEnd"/>
      <w:r w:rsidRPr="008F58CA">
        <w:t xml:space="preserve">; however these were inactive </w:t>
      </w:r>
      <w:r w:rsidRPr="008F58CA">
        <w:lastRenderedPageBreak/>
        <w:t>as PfSUB1 inhibitors. Given the preference for polar P</w:t>
      </w:r>
      <w:r w:rsidRPr="008F58CA">
        <w:rPr>
          <w:vertAlign w:val="subscript"/>
        </w:rPr>
        <w:t xml:space="preserve">1 </w:t>
      </w:r>
      <w:r w:rsidRPr="008F58CA">
        <w:t>side-chains in the substrates of PfSUB1,</w:t>
      </w:r>
      <w:r w:rsidRPr="008F58CA">
        <w:rPr>
          <w:vertAlign w:val="superscript"/>
        </w:rPr>
        <w:t>8,11,24</w:t>
      </w:r>
      <w:r w:rsidRPr="008F58CA">
        <w:rPr>
          <w:sz w:val="17"/>
        </w:rPr>
        <w:t xml:space="preserve"> </w:t>
      </w:r>
      <w:r w:rsidRPr="008F58CA">
        <w:rPr>
          <w:szCs w:val="19"/>
        </w:rPr>
        <w:t>further work is needed to develop the analogues of P</w:t>
      </w:r>
      <w:r w:rsidRPr="008F58CA">
        <w:rPr>
          <w:szCs w:val="19"/>
          <w:vertAlign w:val="subscript"/>
        </w:rPr>
        <w:t>1</w:t>
      </w:r>
      <w:r w:rsidRPr="008F58CA">
        <w:rPr>
          <w:szCs w:val="19"/>
        </w:rPr>
        <w:t xml:space="preserve"> amino acids which could provide additional binding interactions and are compatible with electrophilic </w:t>
      </w:r>
      <w:proofErr w:type="spellStart"/>
      <w:r w:rsidRPr="008F58CA">
        <w:rPr>
          <w:szCs w:val="19"/>
        </w:rPr>
        <w:t>ketoamide</w:t>
      </w:r>
      <w:proofErr w:type="spellEnd"/>
      <w:r w:rsidRPr="008F58CA">
        <w:rPr>
          <w:szCs w:val="19"/>
        </w:rPr>
        <w:t xml:space="preserve"> warhead.</w:t>
      </w:r>
    </w:p>
    <w:p w:rsidR="008F58CA" w:rsidRPr="008F58CA" w:rsidRDefault="008F58CA" w:rsidP="008F58CA">
      <w:pPr>
        <w:pStyle w:val="ElsParagraph"/>
      </w:pPr>
    </w:p>
    <w:p w:rsidR="008F58CA" w:rsidRPr="008F58CA" w:rsidRDefault="008F58CA" w:rsidP="008F58CA">
      <w:pPr>
        <w:pStyle w:val="08ArticleText"/>
        <w:spacing w:line="240" w:lineRule="auto"/>
        <w:rPr>
          <w:sz w:val="20"/>
          <w:szCs w:val="20"/>
        </w:rPr>
      </w:pPr>
      <w:r w:rsidRPr="008F58CA">
        <w:rPr>
          <w:b/>
          <w:sz w:val="20"/>
          <w:szCs w:val="20"/>
        </w:rPr>
        <w:t xml:space="preserve">Table 3 </w:t>
      </w:r>
      <w:r w:rsidRPr="008F58CA">
        <w:rPr>
          <w:sz w:val="20"/>
          <w:szCs w:val="20"/>
        </w:rPr>
        <w:t>Investigation of P</w:t>
      </w:r>
      <w:r w:rsidRPr="008F58CA">
        <w:rPr>
          <w:sz w:val="20"/>
          <w:szCs w:val="20"/>
          <w:vertAlign w:val="subscript"/>
        </w:rPr>
        <w:t xml:space="preserve">1 </w:t>
      </w:r>
      <w:r w:rsidRPr="008F58CA">
        <w:rPr>
          <w:sz w:val="20"/>
          <w:szCs w:val="20"/>
        </w:rPr>
        <w:t>side chains.</w:t>
      </w:r>
    </w:p>
    <w:p w:rsidR="008F58CA" w:rsidRPr="008F58CA" w:rsidRDefault="008F58CA" w:rsidP="008F58CA">
      <w:pPr>
        <w:pStyle w:val="08ArticleText"/>
        <w:spacing w:line="240" w:lineRule="auto"/>
        <w:jc w:val="center"/>
      </w:pPr>
      <w:r w:rsidRPr="008F58CA">
        <w:object w:dxaOrig="4416" w:dyaOrig="1634">
          <v:shape id="_x0000_i1050" type="#_x0000_t75" style="width:173.25pt;height:65.25pt" o:ole="">
            <v:imagedata r:id="rId49" o:title=""/>
          </v:shape>
          <o:OLEObject Type="Embed" ProgID="ChemDraw.Document.6.0" ShapeID="_x0000_i1050" DrawAspect="Content" ObjectID="_1523862400" r:id="rId50"/>
        </w:object>
      </w:r>
    </w:p>
    <w:tbl>
      <w:tblPr>
        <w:tblW w:w="5244" w:type="dxa"/>
        <w:tblInd w:w="108" w:type="dxa"/>
        <w:tblLayout w:type="fixed"/>
        <w:tblLook w:val="00BF" w:firstRow="1" w:lastRow="0" w:firstColumn="1" w:lastColumn="0" w:noHBand="0" w:noVBand="0"/>
      </w:tblPr>
      <w:tblGrid>
        <w:gridCol w:w="709"/>
        <w:gridCol w:w="1701"/>
        <w:gridCol w:w="1843"/>
        <w:gridCol w:w="850"/>
        <w:gridCol w:w="141"/>
      </w:tblGrid>
      <w:tr w:rsidR="008F58CA" w:rsidRPr="008F58CA" w:rsidTr="005079A7">
        <w:trPr>
          <w:gridAfter w:val="1"/>
          <w:wAfter w:w="14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F58CA" w:rsidRPr="008F58CA" w:rsidRDefault="008F58CA" w:rsidP="005079A7">
            <w:pPr>
              <w:pStyle w:val="ElsLegend"/>
            </w:pPr>
            <w:proofErr w:type="spellStart"/>
            <w:r w:rsidRPr="008F58CA">
              <w:t>Cmpd</w:t>
            </w:r>
            <w:proofErr w:type="spellEnd"/>
            <w:r w:rsidRPr="008F58CA"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58CA" w:rsidRPr="008F58CA" w:rsidRDefault="008F58CA" w:rsidP="005079A7">
            <w:pPr>
              <w:pStyle w:val="08ArticleText"/>
              <w:spacing w:line="240" w:lineRule="auto"/>
              <w:jc w:val="left"/>
              <w:rPr>
                <w:sz w:val="16"/>
                <w:szCs w:val="16"/>
              </w:rPr>
            </w:pPr>
            <w:r w:rsidRPr="008F58CA">
              <w:rPr>
                <w:sz w:val="16"/>
                <w:szCs w:val="16"/>
              </w:rPr>
              <w:t>R</w:t>
            </w:r>
            <w:r w:rsidRPr="008F58CA">
              <w:rPr>
                <w:sz w:val="16"/>
                <w:szCs w:val="16"/>
                <w:vertAlign w:val="subscript"/>
              </w:rPr>
              <w:t>2</w:t>
            </w:r>
            <w:r w:rsidRPr="008F58CA">
              <w:rPr>
                <w:sz w:val="16"/>
                <w:szCs w:val="16"/>
              </w:rPr>
              <w:t xml:space="preserve"> (P</w:t>
            </w:r>
            <w:r w:rsidRPr="008F58CA">
              <w:rPr>
                <w:sz w:val="16"/>
                <w:szCs w:val="16"/>
                <w:vertAlign w:val="subscript"/>
              </w:rPr>
              <w:t>1</w:t>
            </w:r>
            <w:r w:rsidRPr="008F58CA">
              <w:rPr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58CA" w:rsidRPr="008F58CA" w:rsidRDefault="008F58CA" w:rsidP="005079A7">
            <w:pPr>
              <w:pStyle w:val="08ArticleText"/>
              <w:spacing w:line="240" w:lineRule="auto"/>
              <w:jc w:val="left"/>
              <w:rPr>
                <w:sz w:val="16"/>
                <w:szCs w:val="16"/>
              </w:rPr>
            </w:pPr>
            <w:r w:rsidRPr="008F58CA">
              <w:rPr>
                <w:sz w:val="16"/>
                <w:szCs w:val="16"/>
              </w:rPr>
              <w:t>R</w:t>
            </w:r>
            <w:r w:rsidRPr="008F58CA">
              <w:rPr>
                <w:sz w:val="16"/>
                <w:szCs w:val="16"/>
                <w:vertAlign w:val="subscript"/>
              </w:rPr>
              <w:t>3</w:t>
            </w:r>
            <w:r w:rsidRPr="008F58CA">
              <w:rPr>
                <w:sz w:val="16"/>
                <w:szCs w:val="16"/>
              </w:rPr>
              <w:t xml:space="preserve"> (P</w:t>
            </w:r>
            <w:r w:rsidRPr="008F58CA">
              <w:rPr>
                <w:sz w:val="16"/>
                <w:szCs w:val="16"/>
                <w:vertAlign w:val="subscript"/>
              </w:rPr>
              <w:t>2</w:t>
            </w:r>
            <w:r w:rsidRPr="008F58CA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F58CA" w:rsidRPr="008F58CA" w:rsidRDefault="008F58CA" w:rsidP="005079A7">
            <w:pPr>
              <w:pStyle w:val="08ArticleText"/>
              <w:spacing w:line="240" w:lineRule="auto"/>
              <w:jc w:val="left"/>
              <w:rPr>
                <w:sz w:val="16"/>
                <w:szCs w:val="16"/>
              </w:rPr>
            </w:pPr>
            <w:r w:rsidRPr="008F58CA">
              <w:rPr>
                <w:sz w:val="16"/>
                <w:szCs w:val="16"/>
              </w:rPr>
              <w:t>IC</w:t>
            </w:r>
            <w:r w:rsidRPr="008F58CA">
              <w:rPr>
                <w:sz w:val="16"/>
                <w:szCs w:val="16"/>
                <w:vertAlign w:val="subscript"/>
              </w:rPr>
              <w:t>50</w:t>
            </w:r>
            <w:r w:rsidRPr="008F58CA">
              <w:rPr>
                <w:sz w:val="16"/>
                <w:szCs w:val="16"/>
              </w:rPr>
              <w:t xml:space="preserve"> (</w:t>
            </w:r>
            <w:r w:rsidRPr="008F58CA">
              <w:rPr>
                <w:i/>
                <w:sz w:val="16"/>
                <w:szCs w:val="16"/>
              </w:rPr>
              <w:t>µ</w:t>
            </w:r>
            <w:r w:rsidRPr="008F58CA">
              <w:rPr>
                <w:sz w:val="16"/>
                <w:szCs w:val="16"/>
              </w:rPr>
              <w:t>M)</w:t>
            </w:r>
          </w:p>
        </w:tc>
      </w:tr>
      <w:tr w:rsidR="008F58CA" w:rsidRPr="008F58CA" w:rsidTr="005079A7">
        <w:trPr>
          <w:gridAfter w:val="1"/>
          <w:wAfter w:w="141" w:type="dxa"/>
          <w:trHeight w:val="260"/>
        </w:trPr>
        <w:tc>
          <w:tcPr>
            <w:tcW w:w="709" w:type="dxa"/>
          </w:tcPr>
          <w:p w:rsidR="008F58CA" w:rsidRPr="008F58CA" w:rsidRDefault="008F58CA" w:rsidP="005079A7">
            <w:pPr>
              <w:pStyle w:val="08ArticleText"/>
              <w:spacing w:before="120" w:after="120" w:line="240" w:lineRule="auto"/>
              <w:jc w:val="center"/>
              <w:rPr>
                <w:b/>
              </w:rPr>
            </w:pPr>
            <w:r w:rsidRPr="008F58CA">
              <w:rPr>
                <w:b/>
              </w:rPr>
              <w:t>19</w:t>
            </w:r>
          </w:p>
        </w:tc>
        <w:tc>
          <w:tcPr>
            <w:tcW w:w="1701" w:type="dxa"/>
          </w:tcPr>
          <w:p w:rsidR="008F58CA" w:rsidRPr="008F58CA" w:rsidRDefault="008F58CA" w:rsidP="005079A7">
            <w:pPr>
              <w:pStyle w:val="08ArticleText"/>
              <w:spacing w:before="120" w:after="120"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8F58CA">
              <w:rPr>
                <w:sz w:val="16"/>
                <w:szCs w:val="16"/>
              </w:rPr>
              <w:t>Bn</w:t>
            </w:r>
            <w:proofErr w:type="spellEnd"/>
          </w:p>
        </w:tc>
        <w:tc>
          <w:tcPr>
            <w:tcW w:w="1843" w:type="dxa"/>
            <w:vAlign w:val="center"/>
          </w:tcPr>
          <w:p w:rsidR="008F58CA" w:rsidRPr="008F58CA" w:rsidRDefault="008F58CA" w:rsidP="005079A7">
            <w:pPr>
              <w:pStyle w:val="08ArticleText"/>
              <w:spacing w:before="120" w:after="120" w:line="240" w:lineRule="auto"/>
              <w:jc w:val="left"/>
              <w:rPr>
                <w:sz w:val="16"/>
                <w:szCs w:val="16"/>
              </w:rPr>
            </w:pPr>
            <w:r w:rsidRPr="008F58CA">
              <w:rPr>
                <w:sz w:val="16"/>
                <w:szCs w:val="16"/>
              </w:rPr>
              <w:t>Me</w:t>
            </w:r>
          </w:p>
        </w:tc>
        <w:tc>
          <w:tcPr>
            <w:tcW w:w="850" w:type="dxa"/>
          </w:tcPr>
          <w:p w:rsidR="008F58CA" w:rsidRPr="008F58CA" w:rsidRDefault="008F58CA" w:rsidP="005079A7">
            <w:pPr>
              <w:pStyle w:val="08ArticleText"/>
              <w:spacing w:before="120" w:after="120" w:line="240" w:lineRule="auto"/>
              <w:jc w:val="left"/>
              <w:rPr>
                <w:sz w:val="16"/>
                <w:szCs w:val="16"/>
              </w:rPr>
            </w:pPr>
            <w:r w:rsidRPr="008F58CA">
              <w:rPr>
                <w:sz w:val="16"/>
                <w:szCs w:val="16"/>
              </w:rPr>
              <w:t>100</w:t>
            </w:r>
          </w:p>
        </w:tc>
      </w:tr>
      <w:tr w:rsidR="008F58CA" w:rsidRPr="008F58CA" w:rsidTr="005079A7">
        <w:trPr>
          <w:gridAfter w:val="1"/>
          <w:wAfter w:w="141" w:type="dxa"/>
        </w:trPr>
        <w:tc>
          <w:tcPr>
            <w:tcW w:w="709" w:type="dxa"/>
          </w:tcPr>
          <w:p w:rsidR="008F58CA" w:rsidRPr="008F58CA" w:rsidRDefault="008F58CA" w:rsidP="005079A7">
            <w:pPr>
              <w:pStyle w:val="08ArticleText"/>
              <w:spacing w:before="120" w:after="120" w:line="240" w:lineRule="auto"/>
              <w:jc w:val="center"/>
              <w:rPr>
                <w:b/>
              </w:rPr>
            </w:pPr>
            <w:r w:rsidRPr="008F58CA">
              <w:rPr>
                <w:b/>
              </w:rPr>
              <w:t>20</w:t>
            </w:r>
          </w:p>
        </w:tc>
        <w:tc>
          <w:tcPr>
            <w:tcW w:w="1701" w:type="dxa"/>
          </w:tcPr>
          <w:p w:rsidR="008F58CA" w:rsidRPr="008F58CA" w:rsidRDefault="008F58CA" w:rsidP="005079A7">
            <w:pPr>
              <w:pStyle w:val="08ArticleText"/>
              <w:spacing w:before="120" w:after="120" w:line="240" w:lineRule="auto"/>
              <w:jc w:val="left"/>
              <w:rPr>
                <w:sz w:val="16"/>
                <w:szCs w:val="16"/>
              </w:rPr>
            </w:pPr>
            <w:r w:rsidRPr="008F58CA">
              <w:rPr>
                <w:i/>
                <w:sz w:val="16"/>
                <w:szCs w:val="16"/>
              </w:rPr>
              <w:t>n-</w:t>
            </w:r>
            <w:proofErr w:type="spellStart"/>
            <w:r w:rsidRPr="008F58CA">
              <w:rPr>
                <w:sz w:val="16"/>
                <w:szCs w:val="16"/>
              </w:rPr>
              <w:t>Pr</w:t>
            </w:r>
            <w:proofErr w:type="spellEnd"/>
          </w:p>
        </w:tc>
        <w:tc>
          <w:tcPr>
            <w:tcW w:w="1843" w:type="dxa"/>
          </w:tcPr>
          <w:p w:rsidR="008F58CA" w:rsidRPr="008F58CA" w:rsidRDefault="008F58CA" w:rsidP="005079A7">
            <w:pPr>
              <w:spacing w:before="120" w:after="120"/>
            </w:pPr>
            <w:r w:rsidRPr="008F58CA">
              <w:rPr>
                <w:sz w:val="16"/>
                <w:szCs w:val="16"/>
              </w:rPr>
              <w:t>Me</w:t>
            </w:r>
          </w:p>
        </w:tc>
        <w:tc>
          <w:tcPr>
            <w:tcW w:w="850" w:type="dxa"/>
          </w:tcPr>
          <w:p w:rsidR="008F58CA" w:rsidRPr="008F58CA" w:rsidRDefault="008F58CA" w:rsidP="005079A7">
            <w:pPr>
              <w:pStyle w:val="08ArticleText"/>
              <w:spacing w:before="120" w:after="120" w:line="240" w:lineRule="auto"/>
              <w:jc w:val="left"/>
              <w:rPr>
                <w:sz w:val="16"/>
                <w:szCs w:val="16"/>
              </w:rPr>
            </w:pPr>
            <w:r w:rsidRPr="008F58CA">
              <w:rPr>
                <w:sz w:val="16"/>
                <w:szCs w:val="16"/>
              </w:rPr>
              <w:t>20±3</w:t>
            </w:r>
          </w:p>
        </w:tc>
      </w:tr>
      <w:tr w:rsidR="008F58CA" w:rsidRPr="008F58CA" w:rsidTr="005079A7">
        <w:trPr>
          <w:gridAfter w:val="1"/>
          <w:wAfter w:w="141" w:type="dxa"/>
        </w:trPr>
        <w:tc>
          <w:tcPr>
            <w:tcW w:w="709" w:type="dxa"/>
          </w:tcPr>
          <w:p w:rsidR="008F58CA" w:rsidRPr="008F58CA" w:rsidRDefault="008F58CA" w:rsidP="005079A7">
            <w:pPr>
              <w:pStyle w:val="08ArticleText"/>
              <w:spacing w:before="120" w:after="120" w:line="240" w:lineRule="auto"/>
              <w:jc w:val="center"/>
              <w:rPr>
                <w:b/>
              </w:rPr>
            </w:pPr>
            <w:r w:rsidRPr="008F58CA">
              <w:rPr>
                <w:b/>
              </w:rPr>
              <w:t>21</w:t>
            </w:r>
          </w:p>
        </w:tc>
        <w:tc>
          <w:tcPr>
            <w:tcW w:w="1701" w:type="dxa"/>
          </w:tcPr>
          <w:p w:rsidR="008F58CA" w:rsidRPr="008F58CA" w:rsidRDefault="008F58CA" w:rsidP="005079A7">
            <w:pPr>
              <w:pStyle w:val="08ArticleText"/>
              <w:spacing w:before="120" w:after="120"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8F58CA">
              <w:rPr>
                <w:sz w:val="16"/>
                <w:szCs w:val="16"/>
              </w:rPr>
              <w:t>Ph</w:t>
            </w:r>
            <w:proofErr w:type="spellEnd"/>
          </w:p>
        </w:tc>
        <w:tc>
          <w:tcPr>
            <w:tcW w:w="1843" w:type="dxa"/>
          </w:tcPr>
          <w:p w:rsidR="008F58CA" w:rsidRPr="008F58CA" w:rsidRDefault="008F58CA" w:rsidP="005079A7">
            <w:pPr>
              <w:spacing w:before="120" w:after="120"/>
            </w:pPr>
            <w:r w:rsidRPr="008F58CA">
              <w:rPr>
                <w:sz w:val="16"/>
                <w:szCs w:val="16"/>
              </w:rPr>
              <w:t>Me</w:t>
            </w:r>
          </w:p>
        </w:tc>
        <w:tc>
          <w:tcPr>
            <w:tcW w:w="850" w:type="dxa"/>
          </w:tcPr>
          <w:p w:rsidR="008F58CA" w:rsidRPr="008F58CA" w:rsidRDefault="008F58CA" w:rsidP="005079A7">
            <w:pPr>
              <w:pStyle w:val="08ArticleText"/>
              <w:spacing w:before="120" w:after="120" w:line="240" w:lineRule="auto"/>
              <w:jc w:val="left"/>
              <w:rPr>
                <w:sz w:val="16"/>
                <w:szCs w:val="16"/>
              </w:rPr>
            </w:pPr>
            <w:r w:rsidRPr="008F58CA">
              <w:rPr>
                <w:sz w:val="16"/>
                <w:szCs w:val="16"/>
              </w:rPr>
              <w:t>&gt;50</w:t>
            </w:r>
          </w:p>
        </w:tc>
      </w:tr>
      <w:tr w:rsidR="008F58CA" w:rsidRPr="008F58CA" w:rsidTr="005079A7">
        <w:trPr>
          <w:trHeight w:val="216"/>
        </w:trPr>
        <w:tc>
          <w:tcPr>
            <w:tcW w:w="709" w:type="dxa"/>
          </w:tcPr>
          <w:p w:rsidR="008F58CA" w:rsidRPr="008F58CA" w:rsidRDefault="008F58CA" w:rsidP="005079A7">
            <w:pPr>
              <w:pStyle w:val="08ArticleText"/>
              <w:spacing w:before="120" w:after="120" w:line="240" w:lineRule="auto"/>
              <w:jc w:val="center"/>
              <w:rPr>
                <w:b/>
              </w:rPr>
            </w:pPr>
            <w:r w:rsidRPr="008F58CA">
              <w:rPr>
                <w:b/>
              </w:rPr>
              <w:t>22</w:t>
            </w:r>
          </w:p>
        </w:tc>
        <w:tc>
          <w:tcPr>
            <w:tcW w:w="1701" w:type="dxa"/>
            <w:vAlign w:val="center"/>
          </w:tcPr>
          <w:p w:rsidR="008F58CA" w:rsidRPr="008F58CA" w:rsidRDefault="008F58CA" w:rsidP="005079A7">
            <w:pPr>
              <w:pStyle w:val="08ArticleText"/>
              <w:spacing w:before="120" w:after="120" w:line="240" w:lineRule="auto"/>
              <w:jc w:val="left"/>
              <w:rPr>
                <w:sz w:val="16"/>
                <w:szCs w:val="16"/>
              </w:rPr>
            </w:pPr>
            <w:r w:rsidRPr="008F58CA">
              <w:object w:dxaOrig="1130" w:dyaOrig="271">
                <v:shape id="_x0000_i1051" type="#_x0000_t75" style="width:43.5pt;height:11.25pt" o:ole="">
                  <v:imagedata r:id="rId51" o:title=""/>
                </v:shape>
                <o:OLEObject Type="Embed" ProgID="ChemDraw.Document.6.0" ShapeID="_x0000_i1051" DrawAspect="Content" ObjectID="_1523862401" r:id="rId52"/>
              </w:object>
            </w:r>
          </w:p>
        </w:tc>
        <w:tc>
          <w:tcPr>
            <w:tcW w:w="1843" w:type="dxa"/>
          </w:tcPr>
          <w:p w:rsidR="008F58CA" w:rsidRPr="008F58CA" w:rsidRDefault="008F58CA" w:rsidP="005079A7">
            <w:pPr>
              <w:spacing w:before="120" w:after="120"/>
            </w:pPr>
            <w:r w:rsidRPr="008F58CA">
              <w:rPr>
                <w:sz w:val="16"/>
                <w:szCs w:val="16"/>
              </w:rPr>
              <w:t>Me</w:t>
            </w:r>
          </w:p>
        </w:tc>
        <w:tc>
          <w:tcPr>
            <w:tcW w:w="991" w:type="dxa"/>
            <w:gridSpan w:val="2"/>
          </w:tcPr>
          <w:p w:rsidR="008F58CA" w:rsidRPr="008F58CA" w:rsidRDefault="008F58CA" w:rsidP="005079A7">
            <w:pPr>
              <w:pStyle w:val="08ArticleText"/>
              <w:spacing w:before="120" w:after="120" w:line="240" w:lineRule="auto"/>
              <w:jc w:val="left"/>
              <w:rPr>
                <w:sz w:val="16"/>
                <w:szCs w:val="16"/>
              </w:rPr>
            </w:pPr>
            <w:r w:rsidRPr="008F58CA">
              <w:rPr>
                <w:sz w:val="16"/>
                <w:szCs w:val="16"/>
              </w:rPr>
              <w:t>5.0±0.1</w:t>
            </w:r>
          </w:p>
        </w:tc>
      </w:tr>
      <w:tr w:rsidR="008F58CA" w:rsidRPr="008F58CA" w:rsidTr="005079A7">
        <w:trPr>
          <w:gridAfter w:val="1"/>
          <w:wAfter w:w="141" w:type="dxa"/>
          <w:trHeight w:val="216"/>
        </w:trPr>
        <w:tc>
          <w:tcPr>
            <w:tcW w:w="709" w:type="dxa"/>
          </w:tcPr>
          <w:p w:rsidR="008F58CA" w:rsidRPr="008F58CA" w:rsidRDefault="008F58CA" w:rsidP="005079A7">
            <w:pPr>
              <w:pStyle w:val="08ArticleText"/>
              <w:spacing w:before="120" w:after="120" w:line="240" w:lineRule="auto"/>
              <w:jc w:val="center"/>
              <w:rPr>
                <w:b/>
              </w:rPr>
            </w:pPr>
            <w:r w:rsidRPr="008F58CA">
              <w:rPr>
                <w:b/>
              </w:rPr>
              <w:t>23</w:t>
            </w:r>
          </w:p>
        </w:tc>
        <w:tc>
          <w:tcPr>
            <w:tcW w:w="1701" w:type="dxa"/>
            <w:vAlign w:val="center"/>
          </w:tcPr>
          <w:p w:rsidR="008F58CA" w:rsidRPr="008F58CA" w:rsidRDefault="008F58CA" w:rsidP="005079A7">
            <w:pPr>
              <w:pStyle w:val="08ArticleText"/>
              <w:spacing w:before="120" w:after="120" w:line="240" w:lineRule="auto"/>
              <w:jc w:val="left"/>
              <w:rPr>
                <w:sz w:val="16"/>
                <w:szCs w:val="16"/>
              </w:rPr>
            </w:pPr>
            <w:r w:rsidRPr="008F58CA">
              <w:object w:dxaOrig="1495" w:dyaOrig="271">
                <v:shape id="_x0000_i1052" type="#_x0000_t75" style="width:57.75pt;height:11.25pt" o:ole="">
                  <v:imagedata r:id="rId53" o:title=""/>
                </v:shape>
                <o:OLEObject Type="Embed" ProgID="ChemDraw.Document.6.0" ShapeID="_x0000_i1052" DrawAspect="Content" ObjectID="_1523862402" r:id="rId54"/>
              </w:object>
            </w:r>
          </w:p>
        </w:tc>
        <w:tc>
          <w:tcPr>
            <w:tcW w:w="1843" w:type="dxa"/>
          </w:tcPr>
          <w:p w:rsidR="008F58CA" w:rsidRPr="008F58CA" w:rsidRDefault="008F58CA" w:rsidP="005079A7">
            <w:pPr>
              <w:spacing w:before="120" w:after="120"/>
            </w:pPr>
            <w:r w:rsidRPr="008F58CA">
              <w:rPr>
                <w:sz w:val="16"/>
                <w:szCs w:val="16"/>
              </w:rPr>
              <w:t>Me</w:t>
            </w:r>
          </w:p>
        </w:tc>
        <w:tc>
          <w:tcPr>
            <w:tcW w:w="850" w:type="dxa"/>
          </w:tcPr>
          <w:p w:rsidR="008F58CA" w:rsidRPr="008F58CA" w:rsidRDefault="008F58CA" w:rsidP="005079A7">
            <w:pPr>
              <w:pStyle w:val="08ArticleText"/>
              <w:spacing w:before="120" w:after="120" w:line="240" w:lineRule="auto"/>
              <w:jc w:val="left"/>
              <w:rPr>
                <w:sz w:val="16"/>
                <w:szCs w:val="16"/>
              </w:rPr>
            </w:pPr>
            <w:r w:rsidRPr="008F58CA">
              <w:rPr>
                <w:sz w:val="16"/>
                <w:szCs w:val="16"/>
              </w:rPr>
              <w:t>&gt;50</w:t>
            </w:r>
          </w:p>
        </w:tc>
      </w:tr>
      <w:tr w:rsidR="008F58CA" w:rsidRPr="008F58CA" w:rsidTr="005079A7">
        <w:trPr>
          <w:gridAfter w:val="1"/>
          <w:wAfter w:w="141" w:type="dxa"/>
          <w:trHeight w:val="216"/>
        </w:trPr>
        <w:tc>
          <w:tcPr>
            <w:tcW w:w="709" w:type="dxa"/>
          </w:tcPr>
          <w:p w:rsidR="008F58CA" w:rsidRPr="008F58CA" w:rsidRDefault="008F58CA" w:rsidP="005079A7">
            <w:pPr>
              <w:pStyle w:val="08ArticleText"/>
              <w:spacing w:before="120" w:after="120" w:line="240" w:lineRule="auto"/>
              <w:jc w:val="center"/>
              <w:rPr>
                <w:b/>
              </w:rPr>
            </w:pPr>
            <w:r w:rsidRPr="008F58CA">
              <w:rPr>
                <w:b/>
              </w:rPr>
              <w:t>24</w:t>
            </w:r>
          </w:p>
        </w:tc>
        <w:tc>
          <w:tcPr>
            <w:tcW w:w="1701" w:type="dxa"/>
            <w:vAlign w:val="center"/>
          </w:tcPr>
          <w:p w:rsidR="008F58CA" w:rsidRPr="008F58CA" w:rsidRDefault="008F58CA" w:rsidP="005079A7">
            <w:pPr>
              <w:pStyle w:val="08ArticleText"/>
              <w:spacing w:before="120" w:after="120" w:line="240" w:lineRule="auto"/>
              <w:jc w:val="left"/>
              <w:rPr>
                <w:sz w:val="16"/>
                <w:szCs w:val="16"/>
              </w:rPr>
            </w:pPr>
            <w:r w:rsidRPr="008F58CA">
              <w:object w:dxaOrig="1053" w:dyaOrig="770">
                <v:shape id="_x0000_i1053" type="#_x0000_t75" style="width:42pt;height:30.75pt" o:ole="">
                  <v:imagedata r:id="rId55" o:title=""/>
                </v:shape>
                <o:OLEObject Type="Embed" ProgID="ChemDraw.Document.6.0" ShapeID="_x0000_i1053" DrawAspect="Content" ObjectID="_1523862403" r:id="rId56"/>
              </w:object>
            </w:r>
          </w:p>
        </w:tc>
        <w:tc>
          <w:tcPr>
            <w:tcW w:w="1843" w:type="dxa"/>
          </w:tcPr>
          <w:p w:rsidR="008F58CA" w:rsidRPr="008F58CA" w:rsidRDefault="008F58CA" w:rsidP="005079A7">
            <w:pPr>
              <w:spacing w:before="120" w:after="120"/>
            </w:pPr>
            <w:r w:rsidRPr="008F58CA">
              <w:rPr>
                <w:sz w:val="16"/>
                <w:szCs w:val="16"/>
              </w:rPr>
              <w:t>Me</w:t>
            </w:r>
          </w:p>
        </w:tc>
        <w:tc>
          <w:tcPr>
            <w:tcW w:w="850" w:type="dxa"/>
          </w:tcPr>
          <w:p w:rsidR="008F58CA" w:rsidRPr="008F58CA" w:rsidRDefault="008F58CA" w:rsidP="005079A7">
            <w:pPr>
              <w:pStyle w:val="08ArticleText"/>
              <w:spacing w:before="120" w:after="120" w:line="240" w:lineRule="auto"/>
              <w:jc w:val="left"/>
              <w:rPr>
                <w:sz w:val="16"/>
                <w:szCs w:val="16"/>
              </w:rPr>
            </w:pPr>
            <w:r w:rsidRPr="008F58CA">
              <w:rPr>
                <w:sz w:val="16"/>
                <w:szCs w:val="16"/>
              </w:rPr>
              <w:t>&gt;50</w:t>
            </w:r>
          </w:p>
        </w:tc>
      </w:tr>
      <w:tr w:rsidR="008F58CA" w:rsidRPr="008F58CA" w:rsidTr="005079A7">
        <w:trPr>
          <w:gridAfter w:val="1"/>
          <w:wAfter w:w="141" w:type="dxa"/>
          <w:trHeight w:val="216"/>
        </w:trPr>
        <w:tc>
          <w:tcPr>
            <w:tcW w:w="709" w:type="dxa"/>
          </w:tcPr>
          <w:p w:rsidR="008F58CA" w:rsidRPr="008F58CA" w:rsidRDefault="008F58CA" w:rsidP="005079A7">
            <w:pPr>
              <w:pStyle w:val="08ArticleText"/>
              <w:spacing w:before="120" w:after="120" w:line="240" w:lineRule="auto"/>
              <w:jc w:val="center"/>
              <w:rPr>
                <w:b/>
              </w:rPr>
            </w:pPr>
            <w:r w:rsidRPr="008F58CA">
              <w:rPr>
                <w:b/>
              </w:rPr>
              <w:t>25</w:t>
            </w:r>
          </w:p>
        </w:tc>
        <w:tc>
          <w:tcPr>
            <w:tcW w:w="1701" w:type="dxa"/>
          </w:tcPr>
          <w:p w:rsidR="008F58CA" w:rsidRPr="008F58CA" w:rsidRDefault="008F58CA" w:rsidP="005079A7">
            <w:pPr>
              <w:pStyle w:val="08ArticleText"/>
              <w:spacing w:before="120" w:after="120" w:line="240" w:lineRule="auto"/>
              <w:jc w:val="left"/>
              <w:rPr>
                <w:sz w:val="16"/>
                <w:szCs w:val="16"/>
              </w:rPr>
            </w:pPr>
            <w:r w:rsidRPr="008F58CA">
              <w:rPr>
                <w:sz w:val="16"/>
                <w:szCs w:val="16"/>
              </w:rPr>
              <w:t>Et</w:t>
            </w:r>
          </w:p>
        </w:tc>
        <w:tc>
          <w:tcPr>
            <w:tcW w:w="1843" w:type="dxa"/>
          </w:tcPr>
          <w:p w:rsidR="008F58CA" w:rsidRPr="008F58CA" w:rsidRDefault="008F58CA" w:rsidP="005079A7">
            <w:pPr>
              <w:spacing w:before="120" w:after="120"/>
              <w:rPr>
                <w:sz w:val="16"/>
                <w:szCs w:val="16"/>
              </w:rPr>
            </w:pPr>
            <w:r w:rsidRPr="008F58CA">
              <w:rPr>
                <w:sz w:val="16"/>
                <w:szCs w:val="16"/>
              </w:rPr>
              <w:t>H</w:t>
            </w:r>
          </w:p>
        </w:tc>
        <w:tc>
          <w:tcPr>
            <w:tcW w:w="850" w:type="dxa"/>
          </w:tcPr>
          <w:p w:rsidR="008F58CA" w:rsidRPr="008F58CA" w:rsidRDefault="008F58CA" w:rsidP="005079A7">
            <w:pPr>
              <w:pStyle w:val="08ArticleText"/>
              <w:spacing w:before="120" w:after="120" w:line="240" w:lineRule="auto"/>
              <w:jc w:val="left"/>
              <w:rPr>
                <w:sz w:val="16"/>
                <w:szCs w:val="16"/>
              </w:rPr>
            </w:pPr>
            <w:r w:rsidRPr="008F58CA">
              <w:rPr>
                <w:sz w:val="16"/>
                <w:szCs w:val="16"/>
              </w:rPr>
              <w:t>1.2±0.1</w:t>
            </w:r>
          </w:p>
        </w:tc>
      </w:tr>
      <w:tr w:rsidR="008F58CA" w:rsidRPr="008F58CA" w:rsidTr="005079A7">
        <w:trPr>
          <w:gridAfter w:val="1"/>
          <w:wAfter w:w="141" w:type="dxa"/>
          <w:trHeight w:val="216"/>
        </w:trPr>
        <w:tc>
          <w:tcPr>
            <w:tcW w:w="709" w:type="dxa"/>
          </w:tcPr>
          <w:p w:rsidR="008F58CA" w:rsidRPr="008F58CA" w:rsidRDefault="008F58CA" w:rsidP="005079A7">
            <w:pPr>
              <w:pStyle w:val="08ArticleText"/>
              <w:spacing w:before="120" w:after="120" w:line="240" w:lineRule="auto"/>
              <w:jc w:val="center"/>
              <w:rPr>
                <w:b/>
              </w:rPr>
            </w:pPr>
            <w:r w:rsidRPr="008F58CA">
              <w:rPr>
                <w:b/>
              </w:rPr>
              <w:t>26</w:t>
            </w:r>
          </w:p>
        </w:tc>
        <w:tc>
          <w:tcPr>
            <w:tcW w:w="1701" w:type="dxa"/>
          </w:tcPr>
          <w:p w:rsidR="008F58CA" w:rsidRPr="008F58CA" w:rsidRDefault="008F58CA" w:rsidP="005079A7">
            <w:pPr>
              <w:pStyle w:val="08ArticleText"/>
              <w:spacing w:before="120" w:after="120" w:line="240" w:lineRule="auto"/>
              <w:jc w:val="left"/>
              <w:rPr>
                <w:sz w:val="16"/>
                <w:szCs w:val="16"/>
              </w:rPr>
            </w:pPr>
            <w:r w:rsidRPr="008F58CA">
              <w:rPr>
                <w:sz w:val="16"/>
                <w:szCs w:val="16"/>
              </w:rPr>
              <w:t>-CH</w:t>
            </w:r>
            <w:r w:rsidRPr="008F58CA">
              <w:rPr>
                <w:sz w:val="16"/>
                <w:szCs w:val="16"/>
                <w:vertAlign w:val="subscript"/>
              </w:rPr>
              <w:t>2</w:t>
            </w:r>
            <w:r w:rsidRPr="008F58CA">
              <w:rPr>
                <w:sz w:val="16"/>
                <w:szCs w:val="16"/>
              </w:rPr>
              <w:t>OH</w:t>
            </w:r>
          </w:p>
        </w:tc>
        <w:tc>
          <w:tcPr>
            <w:tcW w:w="1843" w:type="dxa"/>
          </w:tcPr>
          <w:p w:rsidR="008F58CA" w:rsidRPr="008F58CA" w:rsidRDefault="008F58CA" w:rsidP="005079A7">
            <w:pPr>
              <w:spacing w:before="120" w:after="120"/>
              <w:rPr>
                <w:sz w:val="16"/>
                <w:szCs w:val="16"/>
              </w:rPr>
            </w:pPr>
            <w:r w:rsidRPr="008F58CA">
              <w:rPr>
                <w:sz w:val="16"/>
                <w:szCs w:val="16"/>
              </w:rPr>
              <w:t>H</w:t>
            </w:r>
          </w:p>
        </w:tc>
        <w:tc>
          <w:tcPr>
            <w:tcW w:w="850" w:type="dxa"/>
          </w:tcPr>
          <w:p w:rsidR="008F58CA" w:rsidRPr="008F58CA" w:rsidRDefault="008F58CA" w:rsidP="005079A7">
            <w:pPr>
              <w:pStyle w:val="08ArticleText"/>
              <w:spacing w:before="120" w:after="120" w:line="240" w:lineRule="auto"/>
              <w:jc w:val="left"/>
              <w:rPr>
                <w:sz w:val="16"/>
                <w:szCs w:val="16"/>
              </w:rPr>
            </w:pPr>
            <w:r w:rsidRPr="008F58CA">
              <w:rPr>
                <w:sz w:val="16"/>
                <w:szCs w:val="16"/>
              </w:rPr>
              <w:t>4.0±0.1</w:t>
            </w:r>
          </w:p>
        </w:tc>
      </w:tr>
      <w:tr w:rsidR="008F58CA" w:rsidRPr="008F58CA" w:rsidTr="005079A7">
        <w:trPr>
          <w:gridAfter w:val="1"/>
          <w:wAfter w:w="141" w:type="dxa"/>
          <w:trHeight w:val="216"/>
        </w:trPr>
        <w:tc>
          <w:tcPr>
            <w:tcW w:w="709" w:type="dxa"/>
            <w:tcBorders>
              <w:bottom w:val="single" w:sz="4" w:space="0" w:color="auto"/>
            </w:tcBorders>
          </w:tcPr>
          <w:p w:rsidR="008F58CA" w:rsidRPr="008F58CA" w:rsidRDefault="008F58CA" w:rsidP="005079A7">
            <w:pPr>
              <w:pStyle w:val="08ArticleText"/>
              <w:spacing w:before="120" w:after="120" w:line="240" w:lineRule="auto"/>
              <w:jc w:val="center"/>
              <w:rPr>
                <w:b/>
              </w:rPr>
            </w:pPr>
            <w:r w:rsidRPr="008F58CA">
              <w:rPr>
                <w:b/>
              </w:rPr>
              <w:t>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F58CA" w:rsidRPr="008F58CA" w:rsidRDefault="008F58CA" w:rsidP="005079A7">
            <w:pPr>
              <w:pStyle w:val="08ArticleText"/>
              <w:spacing w:before="120" w:after="120" w:line="240" w:lineRule="auto"/>
              <w:jc w:val="left"/>
              <w:rPr>
                <w:sz w:val="16"/>
                <w:szCs w:val="16"/>
              </w:rPr>
            </w:pPr>
            <w:r w:rsidRPr="008F58CA">
              <w:rPr>
                <w:i/>
                <w:sz w:val="16"/>
                <w:szCs w:val="16"/>
              </w:rPr>
              <w:t>n-</w:t>
            </w:r>
            <w:proofErr w:type="spellStart"/>
            <w:r w:rsidRPr="008F58CA">
              <w:rPr>
                <w:sz w:val="16"/>
                <w:szCs w:val="16"/>
              </w:rPr>
              <w:t>Pr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F58CA" w:rsidRPr="008F58CA" w:rsidRDefault="008F58CA" w:rsidP="005079A7">
            <w:pPr>
              <w:spacing w:before="120" w:after="120"/>
              <w:rPr>
                <w:sz w:val="16"/>
                <w:szCs w:val="16"/>
              </w:rPr>
            </w:pPr>
            <w:r w:rsidRPr="008F58CA">
              <w:rPr>
                <w:sz w:val="16"/>
                <w:szCs w:val="16"/>
              </w:rPr>
              <w:t>H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F58CA" w:rsidRPr="008F58CA" w:rsidRDefault="008F58CA" w:rsidP="005079A7">
            <w:pPr>
              <w:pStyle w:val="08ArticleText"/>
              <w:spacing w:before="120" w:after="120" w:line="240" w:lineRule="auto"/>
              <w:jc w:val="left"/>
              <w:rPr>
                <w:sz w:val="16"/>
                <w:szCs w:val="16"/>
              </w:rPr>
            </w:pPr>
            <w:r w:rsidRPr="008F58CA">
              <w:rPr>
                <w:sz w:val="16"/>
                <w:szCs w:val="16"/>
              </w:rPr>
              <w:t>4.5±0.1</w:t>
            </w:r>
          </w:p>
        </w:tc>
      </w:tr>
    </w:tbl>
    <w:p w:rsidR="008F58CA" w:rsidRPr="008F58CA" w:rsidRDefault="008F58CA" w:rsidP="008F58CA">
      <w:pPr>
        <w:pStyle w:val="ElsParagraph"/>
      </w:pPr>
    </w:p>
    <w:p w:rsidR="008F58CA" w:rsidRPr="008F58CA" w:rsidRDefault="008F58CA" w:rsidP="008F58CA">
      <w:pPr>
        <w:pStyle w:val="ElsParagraph"/>
      </w:pPr>
      <w:r w:rsidRPr="008F58CA">
        <w:t xml:space="preserve">In summary, an optimal PfSUB1 substrate sequence can be exploited to design active inhibitors by incorporating an </w:t>
      </w:r>
      <w:r w:rsidRPr="008F58CA">
        <w:rPr>
          <w:rFonts w:ascii="Symbol" w:hAnsi="Symbol"/>
        </w:rPr>
        <w:t></w:t>
      </w:r>
      <w:r w:rsidRPr="008F58CA">
        <w:t>-</w:t>
      </w:r>
      <w:proofErr w:type="spellStart"/>
      <w:r w:rsidRPr="008F58CA">
        <w:t>ketoamide</w:t>
      </w:r>
      <w:proofErr w:type="spellEnd"/>
      <w:r w:rsidRPr="008F58CA">
        <w:t xml:space="preserve"> moiety in place of the scissile bond. The inhibitory activity is determined by serine trap (</w:t>
      </w:r>
      <w:proofErr w:type="spellStart"/>
      <w:r w:rsidRPr="008F58CA">
        <w:t>ketoamide</w:t>
      </w:r>
      <w:proofErr w:type="spellEnd"/>
      <w:r w:rsidRPr="008F58CA">
        <w:t>) and enzyme binding interactions provided by P</w:t>
      </w:r>
      <w:r w:rsidRPr="008F58CA">
        <w:rPr>
          <w:vertAlign w:val="subscript"/>
        </w:rPr>
        <w:t>1</w:t>
      </w:r>
      <w:r w:rsidRPr="008F58CA">
        <w:t>’-P</w:t>
      </w:r>
      <w:r w:rsidRPr="008F58CA">
        <w:rPr>
          <w:vertAlign w:val="subscript"/>
        </w:rPr>
        <w:t>1</w:t>
      </w:r>
      <w:r w:rsidRPr="008F58CA">
        <w:t>-P</w:t>
      </w:r>
      <w:r w:rsidRPr="008F58CA">
        <w:rPr>
          <w:vertAlign w:val="subscript"/>
        </w:rPr>
        <w:t>4</w:t>
      </w:r>
      <w:r w:rsidRPr="008F58CA">
        <w:t xml:space="preserve"> amino acids. These studies showed a preference for a charged </w:t>
      </w:r>
      <w:r w:rsidRPr="008F58CA">
        <w:rPr>
          <w:rFonts w:ascii="Symbol" w:hAnsi="Symbol"/>
        </w:rPr>
        <w:t></w:t>
      </w:r>
      <w:r w:rsidRPr="008F58CA">
        <w:t>-</w:t>
      </w:r>
      <w:proofErr w:type="spellStart"/>
      <w:r w:rsidRPr="008F58CA">
        <w:t>aminoalanine</w:t>
      </w:r>
      <w:proofErr w:type="spellEnd"/>
      <w:r w:rsidRPr="008F58CA">
        <w:t xml:space="preserve"> in the P</w:t>
      </w:r>
      <w:r w:rsidRPr="008F58CA">
        <w:rPr>
          <w:vertAlign w:val="subscript"/>
        </w:rPr>
        <w:t>1</w:t>
      </w:r>
      <w:r w:rsidRPr="008F58CA">
        <w:t>’ position and a preference for small size substituents limited to an ethyl group in the P</w:t>
      </w:r>
      <w:r w:rsidRPr="008F58CA">
        <w:rPr>
          <w:vertAlign w:val="subscript"/>
        </w:rPr>
        <w:t>1</w:t>
      </w:r>
      <w:r w:rsidRPr="008F58CA">
        <w:t xml:space="preserve"> position. In the P</w:t>
      </w:r>
      <w:r w:rsidRPr="008F58CA">
        <w:rPr>
          <w:vertAlign w:val="subscript"/>
        </w:rPr>
        <w:t>2</w:t>
      </w:r>
      <w:r w:rsidRPr="008F58CA">
        <w:t xml:space="preserve"> position, glycine is preferred over alanine. Threonine in P</w:t>
      </w:r>
      <w:r w:rsidRPr="008F58CA">
        <w:rPr>
          <w:vertAlign w:val="subscript"/>
        </w:rPr>
        <w:t xml:space="preserve">3 </w:t>
      </w:r>
      <w:r w:rsidRPr="008F58CA">
        <w:t>appears to</w:t>
      </w:r>
      <w:r w:rsidRPr="008F58CA">
        <w:rPr>
          <w:vertAlign w:val="subscript"/>
        </w:rPr>
        <w:t xml:space="preserve"> </w:t>
      </w:r>
      <w:r w:rsidRPr="008F58CA">
        <w:t xml:space="preserve">provide a solvent-exposed hydrophilic side chain that minimizes </w:t>
      </w:r>
      <w:proofErr w:type="spellStart"/>
      <w:r w:rsidRPr="008F58CA">
        <w:t>solvatation</w:t>
      </w:r>
      <w:proofErr w:type="spellEnd"/>
      <w:r w:rsidRPr="008F58CA">
        <w:t xml:space="preserve"> penalty, whereas isoleucine in P</w:t>
      </w:r>
      <w:r w:rsidRPr="008F58CA">
        <w:rPr>
          <w:vertAlign w:val="subscript"/>
        </w:rPr>
        <w:t>4</w:t>
      </w:r>
      <w:r w:rsidRPr="008F58CA">
        <w:t xml:space="preserve"> appears to make crucial </w:t>
      </w:r>
      <w:proofErr w:type="spellStart"/>
      <w:r w:rsidRPr="008F58CA">
        <w:t>hydrophopbic</w:t>
      </w:r>
      <w:proofErr w:type="spellEnd"/>
      <w:r w:rsidRPr="008F58CA">
        <w:t xml:space="preserve"> interactions important for inhibitory activity. Preliminary side chain optimization studies have resulted in </w:t>
      </w:r>
      <w:proofErr w:type="spellStart"/>
      <w:r w:rsidRPr="008F58CA">
        <w:t>pentapeptidic</w:t>
      </w:r>
      <w:proofErr w:type="spellEnd"/>
      <w:r w:rsidRPr="008F58CA">
        <w:t xml:space="preserve"> </w:t>
      </w:r>
      <w:r w:rsidRPr="008F58CA">
        <w:rPr>
          <w:rFonts w:ascii="Symbol" w:hAnsi="Symbol"/>
        </w:rPr>
        <w:t></w:t>
      </w:r>
      <w:r w:rsidRPr="008F58CA">
        <w:rPr>
          <w:rFonts w:ascii="Symbol" w:hAnsi="Symbol"/>
        </w:rPr>
        <w:t></w:t>
      </w:r>
      <w:proofErr w:type="spellStart"/>
      <w:r w:rsidRPr="008F58CA">
        <w:t>ketoamide</w:t>
      </w:r>
      <w:proofErr w:type="spellEnd"/>
      <w:r w:rsidRPr="008F58CA">
        <w:t xml:space="preserve"> </w:t>
      </w:r>
      <w:r w:rsidRPr="008F58CA">
        <w:rPr>
          <w:b/>
        </w:rPr>
        <w:t xml:space="preserve">15 </w:t>
      </w:r>
      <w:r w:rsidRPr="008F58CA">
        <w:t xml:space="preserve">which is structurally less complex and less polar compared to the </w:t>
      </w:r>
      <w:proofErr w:type="spellStart"/>
      <w:r w:rsidRPr="008F58CA">
        <w:t>hexapeptidic</w:t>
      </w:r>
      <w:proofErr w:type="spellEnd"/>
      <w:r w:rsidRPr="008F58CA">
        <w:t xml:space="preserve"> analogue </w:t>
      </w:r>
      <w:r w:rsidRPr="008F58CA">
        <w:rPr>
          <w:b/>
        </w:rPr>
        <w:t xml:space="preserve">6, </w:t>
      </w:r>
      <w:r w:rsidRPr="008F58CA">
        <w:t xml:space="preserve">but that retains the same level </w:t>
      </w:r>
      <w:proofErr w:type="gramStart"/>
      <w:r w:rsidRPr="008F58CA">
        <w:t>of  PfSUB</w:t>
      </w:r>
      <w:proofErr w:type="gramEnd"/>
      <w:r w:rsidRPr="008F58CA">
        <w:t>1 inhibitory activity (IC</w:t>
      </w:r>
      <w:r w:rsidRPr="008F58CA">
        <w:rPr>
          <w:vertAlign w:val="subscript"/>
        </w:rPr>
        <w:t>50</w:t>
      </w:r>
      <w:r w:rsidRPr="008F58CA">
        <w:t xml:space="preserve">=0.9 </w:t>
      </w:r>
      <w:proofErr w:type="spellStart"/>
      <w:r w:rsidRPr="008F58CA">
        <w:t>uM</w:t>
      </w:r>
      <w:proofErr w:type="spellEnd"/>
      <w:r w:rsidRPr="008F58CA">
        <w:t>). This makes it among the best currently available PfSUB1 inhibitors. The inhibitors are useful tool compounds to study the role of PfSUB1 as a potential antimalarial target and can be used as leads for antimalarial drug discovery.</w:t>
      </w:r>
    </w:p>
    <w:p w:rsidR="008F58CA" w:rsidRPr="008F58CA" w:rsidRDefault="008F58CA" w:rsidP="008F58CA">
      <w:pPr>
        <w:pStyle w:val="ElsAcknowledgementsHeading"/>
      </w:pPr>
      <w:r w:rsidRPr="008F58CA">
        <w:t>Acknowledgments</w:t>
      </w:r>
    </w:p>
    <w:p w:rsidR="008F58CA" w:rsidRPr="008F58CA" w:rsidRDefault="008F58CA" w:rsidP="008F58CA">
      <w:pPr>
        <w:pStyle w:val="ElsParagraph"/>
      </w:pPr>
      <w:r w:rsidRPr="008F58CA">
        <w:rPr>
          <w:lang w:val="lv-LV"/>
        </w:rPr>
        <w:t>This work was supported by the EC Marie Curie Initial Training Network “Scientific Training in Antimicrobial Research Strategies” (grant agreement 238490) and by the UK Medical Research Council (</w:t>
      </w:r>
      <w:r w:rsidRPr="008F58CA">
        <w:t xml:space="preserve">U117532063 </w:t>
      </w:r>
      <w:r w:rsidRPr="008F58CA">
        <w:rPr>
          <w:lang w:val="lv-LV"/>
        </w:rPr>
        <w:t>to M.B.)</w:t>
      </w:r>
      <w:r w:rsidRPr="008F58CA">
        <w:t>.</w:t>
      </w:r>
    </w:p>
    <w:p w:rsidR="008F58CA" w:rsidRPr="008F58CA" w:rsidRDefault="008F58CA" w:rsidP="008F58CA">
      <w:pPr>
        <w:pStyle w:val="ElsReferencesHeading"/>
      </w:pPr>
      <w:r w:rsidRPr="008F58CA">
        <w:t>References and notes</w:t>
      </w:r>
    </w:p>
    <w:p w:rsidR="008F58CA" w:rsidRPr="008F58CA" w:rsidRDefault="008F58CA" w:rsidP="008F58CA">
      <w:pPr>
        <w:pStyle w:val="ElsReferences"/>
      </w:pPr>
      <w:r w:rsidRPr="008F58CA">
        <w:t xml:space="preserve">WHO. World Malaria Report 2013; World Health Organization: Geneva. </w:t>
      </w:r>
      <w:hyperlink r:id="rId57" w:history="1">
        <w:r w:rsidRPr="008F58CA">
          <w:rPr>
            <w:rStyle w:val="Hyperlink"/>
          </w:rPr>
          <w:t>http://www.who.int/malaria/media/world_malaria_report_2013/en/</w:t>
        </w:r>
      </w:hyperlink>
      <w:r w:rsidRPr="008F58CA">
        <w:t xml:space="preserve"> Last accessed 13.06.2014.</w:t>
      </w:r>
    </w:p>
    <w:p w:rsidR="008F58CA" w:rsidRPr="008F58CA" w:rsidRDefault="008F58CA" w:rsidP="008F58CA">
      <w:pPr>
        <w:pStyle w:val="ElsReferences"/>
      </w:pPr>
      <w:r w:rsidRPr="008F58CA">
        <w:t xml:space="preserve">J. E. Hyde, FEBS J. 2007, </w:t>
      </w:r>
      <w:r w:rsidRPr="008F58CA">
        <w:rPr>
          <w:bCs/>
        </w:rPr>
        <w:t>274</w:t>
      </w:r>
      <w:r w:rsidRPr="008F58CA">
        <w:t>, 4688.</w:t>
      </w:r>
    </w:p>
    <w:p w:rsidR="008F58CA" w:rsidRPr="008F58CA" w:rsidRDefault="008F58CA" w:rsidP="008F58CA">
      <w:pPr>
        <w:pStyle w:val="ElsReferences"/>
      </w:pPr>
      <w:r w:rsidRPr="008F58CA">
        <w:t xml:space="preserve">S. R. Choi, P. Mukherjee, and M. A. Avery, </w:t>
      </w:r>
      <w:proofErr w:type="spellStart"/>
      <w:r w:rsidRPr="008F58CA">
        <w:t>Curr</w:t>
      </w:r>
      <w:proofErr w:type="spellEnd"/>
      <w:r w:rsidRPr="008F58CA">
        <w:t>. Med. Chem., 2008, 15, 161.</w:t>
      </w:r>
    </w:p>
    <w:p w:rsidR="008F58CA" w:rsidRPr="008F58CA" w:rsidRDefault="008F58CA" w:rsidP="008F58CA">
      <w:pPr>
        <w:pStyle w:val="ElsReferences"/>
      </w:pPr>
      <w:r w:rsidRPr="008F58CA">
        <w:t xml:space="preserve">T. N. C. Wells, P. L. Alonso, and W. E. </w:t>
      </w:r>
      <w:proofErr w:type="spellStart"/>
      <w:r w:rsidRPr="008F58CA">
        <w:t>Gutteridge</w:t>
      </w:r>
      <w:proofErr w:type="spellEnd"/>
      <w:r w:rsidRPr="008F58CA">
        <w:t xml:space="preserve">, Nat. Rev. Drug Discovery 2009, </w:t>
      </w:r>
      <w:r w:rsidRPr="008F58CA">
        <w:rPr>
          <w:bCs/>
        </w:rPr>
        <w:t>8</w:t>
      </w:r>
      <w:r w:rsidRPr="008F58CA">
        <w:t>, 879.</w:t>
      </w:r>
    </w:p>
    <w:p w:rsidR="008F58CA" w:rsidRPr="008F58CA" w:rsidRDefault="008F58CA" w:rsidP="008F58CA">
      <w:pPr>
        <w:pStyle w:val="ElsReferences"/>
      </w:pPr>
      <w:r w:rsidRPr="008F58CA">
        <w:t xml:space="preserve">L. Jean, F. Hackett, S. R. Martin, and M. J. Blackman, J. Biol. Chem. 2003, </w:t>
      </w:r>
      <w:r w:rsidRPr="008F58CA">
        <w:rPr>
          <w:bCs/>
        </w:rPr>
        <w:t>278</w:t>
      </w:r>
      <w:r w:rsidRPr="008F58CA">
        <w:t>, 28572.</w:t>
      </w:r>
    </w:p>
    <w:p w:rsidR="008F58CA" w:rsidRPr="008F58CA" w:rsidRDefault="008F58CA" w:rsidP="008F58CA">
      <w:pPr>
        <w:pStyle w:val="ElsReferences"/>
      </w:pPr>
      <w:r w:rsidRPr="008F58CA">
        <w:t xml:space="preserve">S. </w:t>
      </w:r>
      <w:proofErr w:type="spellStart"/>
      <w:r w:rsidRPr="008F58CA">
        <w:t>Yeoh</w:t>
      </w:r>
      <w:proofErr w:type="spellEnd"/>
      <w:r w:rsidRPr="008F58CA">
        <w:t xml:space="preserve">, R. A. O’Donnell, K. </w:t>
      </w:r>
      <w:proofErr w:type="spellStart"/>
      <w:r w:rsidRPr="008F58CA">
        <w:t>Koussis</w:t>
      </w:r>
      <w:proofErr w:type="spellEnd"/>
      <w:r w:rsidRPr="008F58CA">
        <w:t xml:space="preserve">, A. R. </w:t>
      </w:r>
      <w:proofErr w:type="spellStart"/>
      <w:r w:rsidRPr="008F58CA">
        <w:t>Dluzewski</w:t>
      </w:r>
      <w:proofErr w:type="spellEnd"/>
      <w:r w:rsidRPr="008F58CA">
        <w:t xml:space="preserve">, K. H. Ansell, S. A. Osborne, F. Hackett, C. Withers-Martinez, G. H. Mitchell, L. H. Bannister, J. S. Bryans, C. A. </w:t>
      </w:r>
      <w:proofErr w:type="spellStart"/>
      <w:r w:rsidRPr="008F58CA">
        <w:t>Kettleborough</w:t>
      </w:r>
      <w:proofErr w:type="spellEnd"/>
      <w:r w:rsidRPr="008F58CA">
        <w:t xml:space="preserve">, and M. J. Blackman, Cell 2007, </w:t>
      </w:r>
      <w:r w:rsidRPr="008F58CA">
        <w:rPr>
          <w:bCs/>
        </w:rPr>
        <w:t>131</w:t>
      </w:r>
      <w:r w:rsidRPr="008F58CA">
        <w:t>, 1072.</w:t>
      </w:r>
    </w:p>
    <w:p w:rsidR="008F58CA" w:rsidRPr="008F58CA" w:rsidRDefault="008F58CA" w:rsidP="008F58CA">
      <w:pPr>
        <w:pStyle w:val="ElsReferences"/>
      </w:pPr>
      <w:r w:rsidRPr="008F58CA">
        <w:t xml:space="preserve">S. </w:t>
      </w:r>
      <w:proofErr w:type="spellStart"/>
      <w:r w:rsidRPr="008F58CA">
        <w:t>Arastu-Kapur</w:t>
      </w:r>
      <w:proofErr w:type="spellEnd"/>
      <w:r w:rsidRPr="008F58CA">
        <w:t xml:space="preserve">, E. L. Ponder, U. P. </w:t>
      </w:r>
      <w:proofErr w:type="spellStart"/>
      <w:r w:rsidRPr="008F58CA">
        <w:t>Fonovic</w:t>
      </w:r>
      <w:proofErr w:type="spellEnd"/>
      <w:r w:rsidRPr="008F58CA">
        <w:t xml:space="preserve">, S. </w:t>
      </w:r>
      <w:proofErr w:type="spellStart"/>
      <w:r w:rsidRPr="008F58CA">
        <w:t>Yeoh</w:t>
      </w:r>
      <w:proofErr w:type="spellEnd"/>
      <w:r w:rsidRPr="008F58CA">
        <w:t xml:space="preserve">, F. Yuan, M. </w:t>
      </w:r>
      <w:proofErr w:type="spellStart"/>
      <w:r w:rsidRPr="008F58CA">
        <w:t>Fonovic</w:t>
      </w:r>
      <w:proofErr w:type="spellEnd"/>
      <w:r w:rsidRPr="008F58CA">
        <w:t xml:space="preserve">, M. Grainger, C. I. Phillips, J. C. Powers, and M. </w:t>
      </w:r>
      <w:proofErr w:type="spellStart"/>
      <w:r w:rsidRPr="008F58CA">
        <w:t>Bogyo</w:t>
      </w:r>
      <w:proofErr w:type="spellEnd"/>
      <w:r w:rsidRPr="008F58CA">
        <w:t xml:space="preserve">, Nat. Chem. Biol. 2008, </w:t>
      </w:r>
      <w:r w:rsidRPr="008F58CA">
        <w:rPr>
          <w:bCs/>
        </w:rPr>
        <w:t>4</w:t>
      </w:r>
      <w:r w:rsidRPr="008F58CA">
        <w:t>, 203.</w:t>
      </w:r>
    </w:p>
    <w:p w:rsidR="008F58CA" w:rsidRPr="008F58CA" w:rsidRDefault="008F58CA" w:rsidP="008F58CA">
      <w:pPr>
        <w:pStyle w:val="ElsReferences"/>
      </w:pPr>
      <w:r w:rsidRPr="008F58CA">
        <w:t xml:space="preserve">. </w:t>
      </w:r>
      <w:proofErr w:type="spellStart"/>
      <w:r w:rsidRPr="008F58CA">
        <w:t>Koussis</w:t>
      </w:r>
      <w:proofErr w:type="spellEnd"/>
      <w:r w:rsidRPr="008F58CA">
        <w:t>, C. Withers</w:t>
      </w:r>
      <w:r w:rsidRPr="008F58CA">
        <w:rPr>
          <w:rFonts w:ascii="Cambria Math" w:hAnsi="Cambria Math" w:cs="Cambria Math"/>
        </w:rPr>
        <w:t>‐</w:t>
      </w:r>
      <w:r w:rsidRPr="008F58CA">
        <w:t xml:space="preserve">Martinez, S. </w:t>
      </w:r>
      <w:proofErr w:type="spellStart"/>
      <w:r w:rsidRPr="008F58CA">
        <w:t>Yeoh</w:t>
      </w:r>
      <w:proofErr w:type="spellEnd"/>
      <w:r w:rsidRPr="008F58CA">
        <w:t xml:space="preserve">, M. Child, F. Hackett, E. </w:t>
      </w:r>
      <w:proofErr w:type="spellStart"/>
      <w:r w:rsidRPr="008F58CA">
        <w:t>Knuepfer</w:t>
      </w:r>
      <w:proofErr w:type="spellEnd"/>
      <w:r w:rsidRPr="008F58CA">
        <w:t xml:space="preserve">, L. </w:t>
      </w:r>
      <w:proofErr w:type="spellStart"/>
      <w:r w:rsidRPr="008F58CA">
        <w:t>Juliano</w:t>
      </w:r>
      <w:proofErr w:type="spellEnd"/>
      <w:r w:rsidRPr="008F58CA">
        <w:t xml:space="preserve">, U. </w:t>
      </w:r>
      <w:proofErr w:type="spellStart"/>
      <w:r w:rsidRPr="008F58CA">
        <w:t>Woehlbier</w:t>
      </w:r>
      <w:proofErr w:type="spellEnd"/>
      <w:r w:rsidRPr="008F58CA">
        <w:t xml:space="preserve">, H. </w:t>
      </w:r>
      <w:proofErr w:type="spellStart"/>
      <w:r w:rsidRPr="008F58CA">
        <w:t>Bujard</w:t>
      </w:r>
      <w:proofErr w:type="spellEnd"/>
      <w:r w:rsidRPr="008F58CA">
        <w:t xml:space="preserve">, and M. J. Blackman, EMBO J. 2009, </w:t>
      </w:r>
      <w:r w:rsidRPr="008F58CA">
        <w:rPr>
          <w:bCs/>
        </w:rPr>
        <w:t>28</w:t>
      </w:r>
      <w:r w:rsidRPr="008F58CA">
        <w:t>, 725.</w:t>
      </w:r>
    </w:p>
    <w:p w:rsidR="008F58CA" w:rsidRPr="008F58CA" w:rsidRDefault="008F58CA" w:rsidP="008F58CA">
      <w:pPr>
        <w:pStyle w:val="ElsReferences"/>
      </w:pPr>
      <w:r w:rsidRPr="008F58CA">
        <w:t xml:space="preserve">S. Gemma, S. Giovani, M. </w:t>
      </w:r>
      <w:proofErr w:type="spellStart"/>
      <w:r w:rsidRPr="008F58CA">
        <w:t>Brindisi</w:t>
      </w:r>
      <w:proofErr w:type="spellEnd"/>
      <w:r w:rsidRPr="008F58CA">
        <w:t xml:space="preserve">, P. </w:t>
      </w:r>
      <w:proofErr w:type="spellStart"/>
      <w:r w:rsidRPr="008F58CA">
        <w:t>Tripaldi</w:t>
      </w:r>
      <w:proofErr w:type="spellEnd"/>
      <w:r w:rsidRPr="008F58CA">
        <w:t xml:space="preserve">, S. </w:t>
      </w:r>
      <w:proofErr w:type="spellStart"/>
      <w:r w:rsidRPr="008F58CA">
        <w:t>Brogi</w:t>
      </w:r>
      <w:proofErr w:type="spellEnd"/>
      <w:r w:rsidRPr="008F58CA">
        <w:t xml:space="preserve">, L. </w:t>
      </w:r>
      <w:proofErr w:type="spellStart"/>
      <w:r w:rsidRPr="008F58CA">
        <w:t>Savini</w:t>
      </w:r>
      <w:proofErr w:type="spellEnd"/>
      <w:r w:rsidRPr="008F58CA">
        <w:t xml:space="preserve">, I. </w:t>
      </w:r>
      <w:proofErr w:type="spellStart"/>
      <w:r w:rsidRPr="008F58CA">
        <w:t>Fiorini</w:t>
      </w:r>
      <w:proofErr w:type="spellEnd"/>
      <w:r w:rsidRPr="008F58CA">
        <w:t xml:space="preserve">, E. Novellino, S. </w:t>
      </w:r>
      <w:proofErr w:type="spellStart"/>
      <w:r w:rsidRPr="008F58CA">
        <w:t>Butini</w:t>
      </w:r>
      <w:proofErr w:type="spellEnd"/>
      <w:r w:rsidRPr="008F58CA">
        <w:t xml:space="preserve">, G. </w:t>
      </w:r>
      <w:proofErr w:type="spellStart"/>
      <w:r w:rsidRPr="008F58CA">
        <w:t>Campiani</w:t>
      </w:r>
      <w:proofErr w:type="spellEnd"/>
      <w:r w:rsidRPr="008F58CA">
        <w:t xml:space="preserve">, M. </w:t>
      </w:r>
      <w:proofErr w:type="spellStart"/>
      <w:r w:rsidRPr="008F58CA">
        <w:t>Penzo</w:t>
      </w:r>
      <w:proofErr w:type="spellEnd"/>
      <w:r w:rsidRPr="008F58CA">
        <w:t xml:space="preserve">, and M. J. Blackman, </w:t>
      </w:r>
      <w:proofErr w:type="spellStart"/>
      <w:r w:rsidRPr="008F58CA">
        <w:t>Bioorg</w:t>
      </w:r>
      <w:proofErr w:type="spellEnd"/>
      <w:r w:rsidRPr="008F58CA">
        <w:t xml:space="preserve">. Med. Chem. Lett. 2012, </w:t>
      </w:r>
      <w:r w:rsidRPr="008F58CA">
        <w:rPr>
          <w:bCs/>
        </w:rPr>
        <w:t>22</w:t>
      </w:r>
      <w:r w:rsidRPr="008F58CA">
        <w:t>, 5317.</w:t>
      </w:r>
    </w:p>
    <w:p w:rsidR="008F58CA" w:rsidRPr="008F58CA" w:rsidRDefault="008F58CA" w:rsidP="008F58CA">
      <w:pPr>
        <w:pStyle w:val="ElsReferences"/>
      </w:pPr>
      <w:r w:rsidRPr="008F58CA">
        <w:t xml:space="preserve">A. Bouillon, D. </w:t>
      </w:r>
      <w:proofErr w:type="spellStart"/>
      <w:r w:rsidRPr="008F58CA">
        <w:t>Giganti</w:t>
      </w:r>
      <w:proofErr w:type="spellEnd"/>
      <w:r w:rsidRPr="008F58CA">
        <w:t xml:space="preserve">, C. </w:t>
      </w:r>
      <w:proofErr w:type="spellStart"/>
      <w:r w:rsidRPr="008F58CA">
        <w:t>Benedet</w:t>
      </w:r>
      <w:proofErr w:type="spellEnd"/>
      <w:r w:rsidRPr="008F58CA">
        <w:t xml:space="preserve">, O. </w:t>
      </w:r>
      <w:proofErr w:type="spellStart"/>
      <w:r w:rsidRPr="008F58CA">
        <w:t>Gorgette</w:t>
      </w:r>
      <w:proofErr w:type="spellEnd"/>
      <w:r w:rsidRPr="008F58CA">
        <w:t xml:space="preserve">, S. </w:t>
      </w:r>
      <w:proofErr w:type="spellStart"/>
      <w:r w:rsidRPr="008F58CA">
        <w:t>Pêtres</w:t>
      </w:r>
      <w:proofErr w:type="spellEnd"/>
      <w:r w:rsidRPr="008F58CA">
        <w:t xml:space="preserve">, E. </w:t>
      </w:r>
      <w:proofErr w:type="spellStart"/>
      <w:r w:rsidRPr="008F58CA">
        <w:t>Crublet</w:t>
      </w:r>
      <w:proofErr w:type="spellEnd"/>
      <w:r w:rsidRPr="008F58CA">
        <w:t xml:space="preserve">, C. Girard-Blanc, B. </w:t>
      </w:r>
      <w:proofErr w:type="spellStart"/>
      <w:r w:rsidRPr="008F58CA">
        <w:t>Witkowski</w:t>
      </w:r>
      <w:proofErr w:type="spellEnd"/>
      <w:r w:rsidRPr="008F58CA">
        <w:t xml:space="preserve">, D. </w:t>
      </w:r>
      <w:proofErr w:type="spellStart"/>
      <w:r w:rsidRPr="008F58CA">
        <w:t>Ménard</w:t>
      </w:r>
      <w:proofErr w:type="spellEnd"/>
      <w:r w:rsidRPr="008F58CA">
        <w:t xml:space="preserve">, M. </w:t>
      </w:r>
      <w:proofErr w:type="spellStart"/>
      <w:r w:rsidRPr="008F58CA">
        <w:t>Nilges</w:t>
      </w:r>
      <w:proofErr w:type="spellEnd"/>
      <w:r w:rsidRPr="008F58CA">
        <w:t xml:space="preserve">, O. </w:t>
      </w:r>
      <w:proofErr w:type="spellStart"/>
      <w:r w:rsidRPr="008F58CA">
        <w:t>Mercereau-Puijalon</w:t>
      </w:r>
      <w:proofErr w:type="spellEnd"/>
      <w:r w:rsidRPr="008F58CA">
        <w:t xml:space="preserve">, V. </w:t>
      </w:r>
      <w:proofErr w:type="spellStart"/>
      <w:r w:rsidRPr="008F58CA">
        <w:t>Stoven</w:t>
      </w:r>
      <w:proofErr w:type="spellEnd"/>
      <w:r w:rsidRPr="008F58CA">
        <w:t xml:space="preserve">, and J.-C. </w:t>
      </w:r>
      <w:proofErr w:type="spellStart"/>
      <w:r w:rsidRPr="008F58CA">
        <w:t>Barale</w:t>
      </w:r>
      <w:proofErr w:type="spellEnd"/>
      <w:r w:rsidRPr="008F58CA">
        <w:t xml:space="preserve">, J. Biol. Chem. 2013, </w:t>
      </w:r>
      <w:r w:rsidRPr="008F58CA">
        <w:rPr>
          <w:iCs/>
        </w:rPr>
        <w:t>288, 18561.</w:t>
      </w:r>
    </w:p>
    <w:p w:rsidR="008F58CA" w:rsidRPr="008F58CA" w:rsidRDefault="008F58CA" w:rsidP="008F58CA">
      <w:pPr>
        <w:pStyle w:val="ElsReferences"/>
      </w:pPr>
      <w:r w:rsidRPr="008F58CA">
        <w:t xml:space="preserve">C. Withers-Martinez, C. Suarez, S. </w:t>
      </w:r>
      <w:proofErr w:type="spellStart"/>
      <w:r w:rsidRPr="008F58CA">
        <w:t>Fulle</w:t>
      </w:r>
      <w:proofErr w:type="spellEnd"/>
      <w:r w:rsidRPr="008F58CA">
        <w:t xml:space="preserve">, S. </w:t>
      </w:r>
      <w:proofErr w:type="spellStart"/>
      <w:r w:rsidRPr="008F58CA">
        <w:t>Kher</w:t>
      </w:r>
      <w:proofErr w:type="spellEnd"/>
      <w:r w:rsidRPr="008F58CA">
        <w:t xml:space="preserve">, M. </w:t>
      </w:r>
      <w:proofErr w:type="spellStart"/>
      <w:r w:rsidRPr="008F58CA">
        <w:t>Penzo</w:t>
      </w:r>
      <w:proofErr w:type="spellEnd"/>
      <w:r w:rsidRPr="008F58CA">
        <w:t xml:space="preserve">, J.-P. </w:t>
      </w:r>
      <w:proofErr w:type="spellStart"/>
      <w:r w:rsidRPr="008F58CA">
        <w:t>Ebejer</w:t>
      </w:r>
      <w:proofErr w:type="spellEnd"/>
      <w:r w:rsidRPr="008F58CA">
        <w:t xml:space="preserve">, K. </w:t>
      </w:r>
      <w:proofErr w:type="spellStart"/>
      <w:r w:rsidRPr="008F58CA">
        <w:t>Koussis</w:t>
      </w:r>
      <w:proofErr w:type="spellEnd"/>
      <w:r w:rsidRPr="008F58CA">
        <w:t xml:space="preserve">, F. Hackett, A. </w:t>
      </w:r>
      <w:proofErr w:type="spellStart"/>
      <w:r w:rsidRPr="008F58CA">
        <w:t>Jirgensons</w:t>
      </w:r>
      <w:proofErr w:type="spellEnd"/>
      <w:r w:rsidRPr="008F58CA">
        <w:t xml:space="preserve">, P. Finn, and M. J. Blackman, Int. J. </w:t>
      </w:r>
      <w:proofErr w:type="spellStart"/>
      <w:r w:rsidRPr="008F58CA">
        <w:t>Parasitol</w:t>
      </w:r>
      <w:proofErr w:type="spellEnd"/>
      <w:r w:rsidRPr="008F58CA">
        <w:t xml:space="preserve">. </w:t>
      </w:r>
      <w:r w:rsidRPr="008F58CA">
        <w:rPr>
          <w:bCs/>
        </w:rPr>
        <w:t>2012</w:t>
      </w:r>
      <w:r w:rsidRPr="008F58CA">
        <w:t>, 42, 597.</w:t>
      </w:r>
    </w:p>
    <w:p w:rsidR="008F58CA" w:rsidRPr="008F58CA" w:rsidRDefault="008F58CA" w:rsidP="008F58CA">
      <w:pPr>
        <w:pStyle w:val="ElsReferences"/>
      </w:pPr>
      <w:r w:rsidRPr="008F58CA">
        <w:t xml:space="preserve">At the time of manuscript preparation, </w:t>
      </w:r>
      <w:proofErr w:type="spellStart"/>
      <w:r w:rsidRPr="008F58CA">
        <w:t>peptidic</w:t>
      </w:r>
      <w:proofErr w:type="spellEnd"/>
      <w:r w:rsidRPr="008F58CA">
        <w:t xml:space="preserve"> inhibitors with </w:t>
      </w:r>
      <w:r w:rsidRPr="008F58CA">
        <w:rPr>
          <w:lang w:val="lv-LV"/>
        </w:rPr>
        <w:t xml:space="preserve">difluorostatone as covalent warhead were reported by other group: </w:t>
      </w:r>
      <w:r w:rsidRPr="008F58CA">
        <w:rPr>
          <w:lang w:val="lv-LV" w:eastAsia="lv-LV"/>
        </w:rPr>
        <w:t>S. Giovani, M. Penzo, S. Brogi, M. Brindisi, S. Gemma</w:t>
      </w:r>
      <w:r w:rsidRPr="008F58CA">
        <w:rPr>
          <w:sz w:val="14"/>
          <w:szCs w:val="14"/>
          <w:lang w:val="lv-LV" w:eastAsia="lv-LV"/>
        </w:rPr>
        <w:t xml:space="preserve">, </w:t>
      </w:r>
      <w:r w:rsidRPr="008F58CA">
        <w:rPr>
          <w:lang w:val="lv-LV" w:eastAsia="lv-LV"/>
        </w:rPr>
        <w:t xml:space="preserve">E. Novellino, L. Savini, M. J. Blackman, G. Campiani, S. Butini, </w:t>
      </w:r>
      <w:proofErr w:type="spellStart"/>
      <w:r w:rsidRPr="008F58CA">
        <w:t>Bioorg</w:t>
      </w:r>
      <w:proofErr w:type="spellEnd"/>
      <w:r w:rsidRPr="008F58CA">
        <w:t xml:space="preserve">. Med. Chem. Lett. 2014, </w:t>
      </w:r>
      <w:r w:rsidRPr="008F58CA">
        <w:rPr>
          <w:bCs/>
        </w:rPr>
        <w:t>24</w:t>
      </w:r>
      <w:r w:rsidRPr="008F58CA">
        <w:t>, 3582.</w:t>
      </w:r>
    </w:p>
    <w:p w:rsidR="008F58CA" w:rsidRPr="008F58CA" w:rsidRDefault="008F58CA" w:rsidP="008F58CA">
      <w:pPr>
        <w:pStyle w:val="ElsReferences"/>
      </w:pPr>
      <w:r w:rsidRPr="008F58CA">
        <w:t xml:space="preserve">F. G. </w:t>
      </w:r>
      <w:proofErr w:type="spellStart"/>
      <w:r w:rsidRPr="008F58CA">
        <w:t>Njoroge</w:t>
      </w:r>
      <w:proofErr w:type="spellEnd"/>
      <w:r w:rsidRPr="008F58CA">
        <w:t xml:space="preserve">, K. X. Chen, N.-Y. Shih, and J. J. </w:t>
      </w:r>
      <w:proofErr w:type="spellStart"/>
      <w:r w:rsidRPr="008F58CA">
        <w:t>Piwinski</w:t>
      </w:r>
      <w:proofErr w:type="spellEnd"/>
      <w:r w:rsidRPr="008F58CA">
        <w:t xml:space="preserve">, Acc. Chem. Res. 2008, </w:t>
      </w:r>
      <w:r w:rsidRPr="008F58CA">
        <w:rPr>
          <w:bCs/>
        </w:rPr>
        <w:t>41</w:t>
      </w:r>
      <w:r w:rsidRPr="008F58CA">
        <w:t>, 50.</w:t>
      </w:r>
    </w:p>
    <w:p w:rsidR="008F58CA" w:rsidRPr="008F58CA" w:rsidRDefault="008F58CA" w:rsidP="008F58CA">
      <w:pPr>
        <w:pStyle w:val="ElsReferences"/>
      </w:pPr>
      <w:r w:rsidRPr="008F58CA">
        <w:t xml:space="preserve">Stein, M. L.; Cui, H.; Beck, P.; </w:t>
      </w:r>
      <w:proofErr w:type="spellStart"/>
      <w:r w:rsidRPr="008F58CA">
        <w:t>Dubiella</w:t>
      </w:r>
      <w:proofErr w:type="spellEnd"/>
      <w:r w:rsidRPr="008F58CA">
        <w:t xml:space="preserve">, C.; Voss, C.; </w:t>
      </w:r>
      <w:proofErr w:type="spellStart"/>
      <w:r w:rsidRPr="008F58CA">
        <w:t>Krüger</w:t>
      </w:r>
      <w:proofErr w:type="spellEnd"/>
      <w:r w:rsidRPr="008F58CA">
        <w:t xml:space="preserve">, A.; Schmidt, B.; </w:t>
      </w:r>
      <w:proofErr w:type="spellStart"/>
      <w:r w:rsidRPr="008F58CA">
        <w:t>Groll</w:t>
      </w:r>
      <w:proofErr w:type="spellEnd"/>
      <w:r w:rsidRPr="008F58CA">
        <w:t xml:space="preserve">, M. </w:t>
      </w:r>
      <w:proofErr w:type="spellStart"/>
      <w:r w:rsidRPr="008F58CA">
        <w:t>Angew</w:t>
      </w:r>
      <w:proofErr w:type="spellEnd"/>
      <w:r w:rsidRPr="008F58CA">
        <w:t>. Chem. Int. Ed. 2014, 53, 1679.</w:t>
      </w:r>
    </w:p>
    <w:p w:rsidR="008F58CA" w:rsidRPr="008F58CA" w:rsidRDefault="008F58CA" w:rsidP="008F58CA">
      <w:pPr>
        <w:pStyle w:val="ElsReferences"/>
      </w:pPr>
      <w:r w:rsidRPr="008F58CA">
        <w:t xml:space="preserve">Prior, A. M.; Kim, Y.; </w:t>
      </w:r>
      <w:proofErr w:type="spellStart"/>
      <w:r w:rsidRPr="008F58CA">
        <w:t>Weerasekara</w:t>
      </w:r>
      <w:proofErr w:type="spellEnd"/>
      <w:r w:rsidRPr="008F58CA">
        <w:t xml:space="preserve">, S.; </w:t>
      </w:r>
      <w:proofErr w:type="spellStart"/>
      <w:r w:rsidRPr="008F58CA">
        <w:t>Moroze</w:t>
      </w:r>
      <w:proofErr w:type="spellEnd"/>
      <w:r w:rsidRPr="008F58CA">
        <w:t xml:space="preserve">, M.; Alliston, K. R.; </w:t>
      </w:r>
      <w:proofErr w:type="spellStart"/>
      <w:r w:rsidRPr="008F58CA">
        <w:t>Uy</w:t>
      </w:r>
      <w:proofErr w:type="spellEnd"/>
      <w:r w:rsidRPr="008F58CA">
        <w:t xml:space="preserve">, R. A. Z.; </w:t>
      </w:r>
      <w:proofErr w:type="spellStart"/>
      <w:r w:rsidRPr="008F58CA">
        <w:t>Groutas</w:t>
      </w:r>
      <w:proofErr w:type="spellEnd"/>
      <w:r w:rsidRPr="008F58CA">
        <w:t xml:space="preserve">, W. C.; Chang, K.-O.; Hua, D. H. </w:t>
      </w:r>
      <w:proofErr w:type="spellStart"/>
      <w:r w:rsidRPr="008F58CA">
        <w:t>Bioorg</w:t>
      </w:r>
      <w:proofErr w:type="spellEnd"/>
      <w:r w:rsidRPr="008F58CA">
        <w:t>. Med. Chem. Lett. 2013, 23, 6317.</w:t>
      </w:r>
    </w:p>
    <w:p w:rsidR="008F58CA" w:rsidRPr="008F58CA" w:rsidRDefault="008F58CA" w:rsidP="008F58CA">
      <w:pPr>
        <w:pStyle w:val="ElsReferences"/>
      </w:pPr>
      <w:proofErr w:type="spellStart"/>
      <w:r w:rsidRPr="008F58CA">
        <w:t>Bondada</w:t>
      </w:r>
      <w:proofErr w:type="spellEnd"/>
      <w:r w:rsidRPr="008F58CA">
        <w:t xml:space="preserve">, L.; </w:t>
      </w:r>
      <w:proofErr w:type="spellStart"/>
      <w:r w:rsidRPr="008F58CA">
        <w:t>Rondla</w:t>
      </w:r>
      <w:proofErr w:type="spellEnd"/>
      <w:r w:rsidRPr="008F58CA">
        <w:t xml:space="preserve">, R.; </w:t>
      </w:r>
      <w:proofErr w:type="spellStart"/>
      <w:r w:rsidRPr="008F58CA">
        <w:t>Pradere</w:t>
      </w:r>
      <w:proofErr w:type="spellEnd"/>
      <w:r w:rsidRPr="008F58CA">
        <w:t xml:space="preserve">, U.; Liu, P.; Li, C.; </w:t>
      </w:r>
      <w:proofErr w:type="spellStart"/>
      <w:r w:rsidRPr="008F58CA">
        <w:t>Bobeck</w:t>
      </w:r>
      <w:proofErr w:type="spellEnd"/>
      <w:r w:rsidRPr="008F58CA">
        <w:t xml:space="preserve">, D.; </w:t>
      </w:r>
      <w:proofErr w:type="spellStart"/>
      <w:r w:rsidRPr="008F58CA">
        <w:t>McBrayer</w:t>
      </w:r>
      <w:proofErr w:type="spellEnd"/>
      <w:r w:rsidRPr="008F58CA">
        <w:t xml:space="preserve">, T.; </w:t>
      </w:r>
      <w:proofErr w:type="spellStart"/>
      <w:r w:rsidRPr="008F58CA">
        <w:t>Tharnish</w:t>
      </w:r>
      <w:proofErr w:type="spellEnd"/>
      <w:r w:rsidRPr="008F58CA">
        <w:t xml:space="preserve">, P.; </w:t>
      </w:r>
      <w:proofErr w:type="spellStart"/>
      <w:r w:rsidRPr="008F58CA">
        <w:t>Courcambeck</w:t>
      </w:r>
      <w:proofErr w:type="spellEnd"/>
      <w:r w:rsidRPr="008F58CA">
        <w:t xml:space="preserve">, J.; </w:t>
      </w:r>
      <w:proofErr w:type="spellStart"/>
      <w:r w:rsidRPr="008F58CA">
        <w:t>Halfon</w:t>
      </w:r>
      <w:proofErr w:type="spellEnd"/>
      <w:r w:rsidRPr="008F58CA">
        <w:t xml:space="preserve">, P.; Whitaker, T.; </w:t>
      </w:r>
      <w:proofErr w:type="spellStart"/>
      <w:r w:rsidRPr="008F58CA">
        <w:t>Amblard</w:t>
      </w:r>
      <w:proofErr w:type="spellEnd"/>
      <w:r w:rsidRPr="008F58CA">
        <w:t xml:space="preserve">, F.; Coats, S. J.; </w:t>
      </w:r>
      <w:proofErr w:type="spellStart"/>
      <w:r w:rsidRPr="008F58CA">
        <w:t>Schinazi</w:t>
      </w:r>
      <w:proofErr w:type="spellEnd"/>
      <w:r w:rsidRPr="008F58CA">
        <w:t xml:space="preserve">, R. F. </w:t>
      </w:r>
      <w:proofErr w:type="spellStart"/>
      <w:r w:rsidRPr="008F58CA">
        <w:t>Bioorg</w:t>
      </w:r>
      <w:proofErr w:type="spellEnd"/>
      <w:r w:rsidRPr="008F58CA">
        <w:t xml:space="preserve">. Med. Chem. Lett. 2013, 23, 6325. </w:t>
      </w:r>
    </w:p>
    <w:p w:rsidR="008F58CA" w:rsidRPr="008F58CA" w:rsidRDefault="008F58CA" w:rsidP="008F58CA">
      <w:pPr>
        <w:pStyle w:val="ElsReferences"/>
      </w:pPr>
      <w:r w:rsidRPr="008F58CA">
        <w:t xml:space="preserve">L. </w:t>
      </w:r>
      <w:proofErr w:type="spellStart"/>
      <w:r w:rsidRPr="008F58CA">
        <w:t>Hedstrom</w:t>
      </w:r>
      <w:proofErr w:type="spellEnd"/>
      <w:r w:rsidRPr="008F58CA">
        <w:t xml:space="preserve">, Chem. Rev. 2002, </w:t>
      </w:r>
      <w:r w:rsidRPr="008F58CA">
        <w:rPr>
          <w:bCs/>
        </w:rPr>
        <w:t>102</w:t>
      </w:r>
      <w:r w:rsidRPr="008F58CA">
        <w:t>, 4501.</w:t>
      </w:r>
    </w:p>
    <w:p w:rsidR="008F58CA" w:rsidRPr="008F58CA" w:rsidRDefault="008F58CA" w:rsidP="008F58CA">
      <w:pPr>
        <w:pStyle w:val="ElsReferences"/>
      </w:pPr>
      <w:r w:rsidRPr="008F58CA">
        <w:rPr>
          <w:lang w:val="lv-LV"/>
        </w:rPr>
        <w:t>F. Fringuelli, F. Pizzo, L. Vaccaro, Synlett 2000, 3, 311.</w:t>
      </w:r>
    </w:p>
    <w:p w:rsidR="008F58CA" w:rsidRPr="008F58CA" w:rsidRDefault="008F58CA" w:rsidP="008F58CA">
      <w:pPr>
        <w:pStyle w:val="ElsReferences"/>
      </w:pPr>
      <w:r w:rsidRPr="008F58CA">
        <w:t xml:space="preserve">W. Ogilvie, M. Bailey, M.-A. </w:t>
      </w:r>
      <w:proofErr w:type="spellStart"/>
      <w:r w:rsidRPr="008F58CA">
        <w:t>Poupart</w:t>
      </w:r>
      <w:proofErr w:type="spellEnd"/>
      <w:r w:rsidRPr="008F58CA">
        <w:t xml:space="preserve">, Abraham, A. </w:t>
      </w:r>
      <w:proofErr w:type="spellStart"/>
      <w:r w:rsidRPr="008F58CA">
        <w:t>Bhavsar</w:t>
      </w:r>
      <w:proofErr w:type="spellEnd"/>
      <w:r w:rsidRPr="008F58CA">
        <w:t xml:space="preserve">, P. </w:t>
      </w:r>
      <w:proofErr w:type="spellStart"/>
      <w:r w:rsidRPr="008F58CA">
        <w:t>Bonneau</w:t>
      </w:r>
      <w:proofErr w:type="spellEnd"/>
      <w:r w:rsidRPr="008F58CA">
        <w:t xml:space="preserve">, J. </w:t>
      </w:r>
      <w:proofErr w:type="spellStart"/>
      <w:r w:rsidRPr="008F58CA">
        <w:t>Bordeleau</w:t>
      </w:r>
      <w:proofErr w:type="spellEnd"/>
      <w:r w:rsidRPr="008F58CA">
        <w:t xml:space="preserve">, Y. </w:t>
      </w:r>
      <w:proofErr w:type="spellStart"/>
      <w:r w:rsidRPr="008F58CA">
        <w:t>Bousquet</w:t>
      </w:r>
      <w:proofErr w:type="spellEnd"/>
      <w:r w:rsidRPr="008F58CA">
        <w:t xml:space="preserve">, C. Chabot, J.-S. Duceppe, G. </w:t>
      </w:r>
      <w:proofErr w:type="spellStart"/>
      <w:r w:rsidRPr="008F58CA">
        <w:t>Fazal</w:t>
      </w:r>
      <w:proofErr w:type="spellEnd"/>
      <w:r w:rsidRPr="008F58CA">
        <w:t xml:space="preserve">, S. </w:t>
      </w:r>
      <w:proofErr w:type="spellStart"/>
      <w:r w:rsidRPr="008F58CA">
        <w:t>Goulet</w:t>
      </w:r>
      <w:proofErr w:type="spellEnd"/>
      <w:r w:rsidRPr="008F58CA">
        <w:t xml:space="preserve">, C. Grand-Maître, I. </w:t>
      </w:r>
      <w:proofErr w:type="spellStart"/>
      <w:r w:rsidRPr="008F58CA">
        <w:t>Guse</w:t>
      </w:r>
      <w:proofErr w:type="spellEnd"/>
      <w:r w:rsidRPr="008F58CA">
        <w:t xml:space="preserve">, T. </w:t>
      </w:r>
      <w:proofErr w:type="spellStart"/>
      <w:r w:rsidRPr="008F58CA">
        <w:t>Halmos</w:t>
      </w:r>
      <w:proofErr w:type="spellEnd"/>
      <w:r w:rsidRPr="008F58CA">
        <w:t xml:space="preserve">, P. </w:t>
      </w:r>
      <w:proofErr w:type="spellStart"/>
      <w:r w:rsidRPr="008F58CA">
        <w:t>Lavallée</w:t>
      </w:r>
      <w:proofErr w:type="spellEnd"/>
      <w:r w:rsidRPr="008F58CA">
        <w:t xml:space="preserve">, M. Leach, E. </w:t>
      </w:r>
      <w:proofErr w:type="spellStart"/>
      <w:r w:rsidRPr="008F58CA">
        <w:t>Malenfant</w:t>
      </w:r>
      <w:proofErr w:type="spellEnd"/>
      <w:r w:rsidRPr="008F58CA">
        <w:t xml:space="preserve">, J. O’Meara, R. </w:t>
      </w:r>
      <w:proofErr w:type="spellStart"/>
      <w:r w:rsidRPr="008F58CA">
        <w:t>Plante</w:t>
      </w:r>
      <w:proofErr w:type="spellEnd"/>
      <w:r w:rsidRPr="008F58CA">
        <w:t xml:space="preserve">, C. </w:t>
      </w:r>
      <w:proofErr w:type="spellStart"/>
      <w:r w:rsidRPr="008F58CA">
        <w:t>Plouffe</w:t>
      </w:r>
      <w:proofErr w:type="spellEnd"/>
      <w:r w:rsidRPr="008F58CA">
        <w:t xml:space="preserve">, M. Poirier, F. </w:t>
      </w:r>
      <w:proofErr w:type="spellStart"/>
      <w:r w:rsidRPr="008F58CA">
        <w:t>Soucy</w:t>
      </w:r>
      <w:proofErr w:type="spellEnd"/>
      <w:r w:rsidRPr="008F58CA">
        <w:t xml:space="preserve">, C. </w:t>
      </w:r>
      <w:proofErr w:type="spellStart"/>
      <w:r w:rsidRPr="008F58CA">
        <w:t>Yoakim</w:t>
      </w:r>
      <w:proofErr w:type="spellEnd"/>
      <w:r w:rsidRPr="008F58CA">
        <w:t xml:space="preserve">, and R. </w:t>
      </w:r>
      <w:proofErr w:type="spellStart"/>
      <w:r w:rsidRPr="008F58CA">
        <w:t>Déziel</w:t>
      </w:r>
      <w:proofErr w:type="spellEnd"/>
      <w:r w:rsidRPr="008F58CA">
        <w:t xml:space="preserve">, J. Med. Chem. 1997, </w:t>
      </w:r>
      <w:r w:rsidRPr="008F58CA">
        <w:rPr>
          <w:bCs/>
        </w:rPr>
        <w:t>40</w:t>
      </w:r>
      <w:r w:rsidRPr="008F58CA">
        <w:t>, 4113.</w:t>
      </w:r>
    </w:p>
    <w:p w:rsidR="008F58CA" w:rsidRPr="008F58CA" w:rsidRDefault="008F58CA" w:rsidP="008F58CA">
      <w:pPr>
        <w:pStyle w:val="ElsReferences"/>
      </w:pPr>
      <w:r w:rsidRPr="008F58CA">
        <w:t xml:space="preserve">S. </w:t>
      </w:r>
      <w:proofErr w:type="spellStart"/>
      <w:r w:rsidRPr="008F58CA">
        <w:t>Venkatraman</w:t>
      </w:r>
      <w:proofErr w:type="spellEnd"/>
      <w:r w:rsidRPr="008F58CA">
        <w:t xml:space="preserve">, F. G. </w:t>
      </w:r>
      <w:proofErr w:type="spellStart"/>
      <w:r w:rsidRPr="008F58CA">
        <w:t>Njoroge</w:t>
      </w:r>
      <w:proofErr w:type="spellEnd"/>
      <w:r w:rsidRPr="008F58CA">
        <w:t xml:space="preserve">, V. M. </w:t>
      </w:r>
      <w:proofErr w:type="spellStart"/>
      <w:r w:rsidRPr="008F58CA">
        <w:t>Girijavallabhan</w:t>
      </w:r>
      <w:proofErr w:type="spellEnd"/>
      <w:r w:rsidRPr="008F58CA">
        <w:t xml:space="preserve">, V. S. Madison, N. H. Yao, A. J. </w:t>
      </w:r>
      <w:proofErr w:type="spellStart"/>
      <w:r w:rsidRPr="008F58CA">
        <w:t>Prongay</w:t>
      </w:r>
      <w:proofErr w:type="spellEnd"/>
      <w:r w:rsidRPr="008F58CA">
        <w:t xml:space="preserve">, N. </w:t>
      </w:r>
      <w:proofErr w:type="spellStart"/>
      <w:r w:rsidRPr="008F58CA">
        <w:t>Butkiewicz</w:t>
      </w:r>
      <w:proofErr w:type="spellEnd"/>
      <w:r w:rsidRPr="008F58CA">
        <w:t xml:space="preserve">, and J. </w:t>
      </w:r>
      <w:proofErr w:type="spellStart"/>
      <w:r w:rsidRPr="008F58CA">
        <w:t>Pichardo</w:t>
      </w:r>
      <w:proofErr w:type="spellEnd"/>
      <w:r w:rsidRPr="008F58CA">
        <w:t xml:space="preserve">, J. Med. Chem. 2005, </w:t>
      </w:r>
      <w:r w:rsidRPr="008F58CA">
        <w:rPr>
          <w:bCs/>
        </w:rPr>
        <w:t>48</w:t>
      </w:r>
      <w:r w:rsidRPr="008F58CA">
        <w:t>, 5088.</w:t>
      </w:r>
    </w:p>
    <w:p w:rsidR="008F58CA" w:rsidRPr="008F58CA" w:rsidRDefault="008F58CA" w:rsidP="008F58CA">
      <w:pPr>
        <w:pStyle w:val="ElsReferences"/>
      </w:pPr>
      <w:r w:rsidRPr="008F58CA">
        <w:t xml:space="preserve">K. </w:t>
      </w:r>
      <w:proofErr w:type="spellStart"/>
      <w:r w:rsidRPr="008F58CA">
        <w:t>Mou</w:t>
      </w:r>
      <w:proofErr w:type="spellEnd"/>
      <w:r w:rsidRPr="008F58CA">
        <w:t xml:space="preserve">, B. Xu, C. Ma, X. Yang, X. Zou, Y. </w:t>
      </w:r>
      <w:proofErr w:type="spellStart"/>
      <w:r w:rsidRPr="008F58CA">
        <w:t>Lü</w:t>
      </w:r>
      <w:proofErr w:type="spellEnd"/>
      <w:r w:rsidRPr="008F58CA">
        <w:t xml:space="preserve">, and P. Xu, </w:t>
      </w:r>
      <w:proofErr w:type="spellStart"/>
      <w:r w:rsidRPr="008F58CA">
        <w:t>Bioorg</w:t>
      </w:r>
      <w:proofErr w:type="spellEnd"/>
      <w:r w:rsidRPr="008F58CA">
        <w:t xml:space="preserve">. Med. Chem. Lett. 2008, </w:t>
      </w:r>
      <w:r w:rsidRPr="008F58CA">
        <w:rPr>
          <w:bCs/>
        </w:rPr>
        <w:t>18</w:t>
      </w:r>
      <w:r w:rsidRPr="008F58CA">
        <w:t>, 2198.</w:t>
      </w:r>
    </w:p>
    <w:p w:rsidR="008F58CA" w:rsidRPr="008F58CA" w:rsidRDefault="008F58CA" w:rsidP="008F58CA">
      <w:pPr>
        <w:pStyle w:val="ElsReferences"/>
      </w:pPr>
      <w:r w:rsidRPr="008F58CA">
        <w:t xml:space="preserve">H. </w:t>
      </w:r>
      <w:proofErr w:type="spellStart"/>
      <w:r w:rsidRPr="008F58CA">
        <w:t>Nemoto</w:t>
      </w:r>
      <w:proofErr w:type="spellEnd"/>
      <w:r w:rsidRPr="008F58CA">
        <w:t xml:space="preserve">, R. Ma, I. Suzuki, and M. Shibuya, Org. Lett. 2000, </w:t>
      </w:r>
      <w:r w:rsidRPr="008F58CA">
        <w:rPr>
          <w:bCs/>
        </w:rPr>
        <w:t>2</w:t>
      </w:r>
      <w:r w:rsidRPr="008F58CA">
        <w:t>, 4245.</w:t>
      </w:r>
    </w:p>
    <w:p w:rsidR="008F58CA" w:rsidRPr="008F58CA" w:rsidRDefault="008F58CA" w:rsidP="008F58CA">
      <w:pPr>
        <w:pStyle w:val="ElsReferences"/>
      </w:pPr>
      <w:r w:rsidRPr="008F58CA">
        <w:t xml:space="preserve">A. </w:t>
      </w:r>
      <w:proofErr w:type="spellStart"/>
      <w:r w:rsidRPr="008F58CA">
        <w:t>Dömling</w:t>
      </w:r>
      <w:proofErr w:type="spellEnd"/>
      <w:r w:rsidRPr="008F58CA">
        <w:t xml:space="preserve">, W. Wang, and K. Wang, Chem. Rev. 2012, </w:t>
      </w:r>
      <w:r w:rsidRPr="008F58CA">
        <w:rPr>
          <w:bCs/>
        </w:rPr>
        <w:t>112</w:t>
      </w:r>
      <w:r w:rsidRPr="008F58CA">
        <w:t>, 3083–3135.</w:t>
      </w:r>
    </w:p>
    <w:p w:rsidR="008F58CA" w:rsidRPr="008F58CA" w:rsidRDefault="008F58CA" w:rsidP="008F58CA">
      <w:pPr>
        <w:pStyle w:val="ElsReferences"/>
      </w:pPr>
      <w:r w:rsidRPr="008F58CA">
        <w:t xml:space="preserve">S. </w:t>
      </w:r>
      <w:proofErr w:type="spellStart"/>
      <w:r w:rsidRPr="008F58CA">
        <w:t>Fulle</w:t>
      </w:r>
      <w:proofErr w:type="spellEnd"/>
      <w:r w:rsidRPr="008F58CA">
        <w:t xml:space="preserve">, C. Withers-Martinez, M. J. Blackman, G. M. Morris, and P. W. Finn, J. Chem. Inf. Model. 2013, </w:t>
      </w:r>
      <w:r w:rsidRPr="008F58CA">
        <w:rPr>
          <w:bCs/>
        </w:rPr>
        <w:t>53</w:t>
      </w:r>
      <w:r w:rsidRPr="008F58CA">
        <w:t>, 573.</w:t>
      </w:r>
    </w:p>
    <w:p w:rsidR="008F58CA" w:rsidRPr="008F58CA" w:rsidRDefault="008F58CA" w:rsidP="008F58CA">
      <w:pPr>
        <w:pStyle w:val="ElsReferences"/>
      </w:pPr>
      <w:r w:rsidRPr="008F58CA">
        <w:rPr>
          <w:szCs w:val="13"/>
        </w:rPr>
        <w:t xml:space="preserve">C. Withers-Martinez, M. </w:t>
      </w:r>
      <w:proofErr w:type="spellStart"/>
      <w:r w:rsidRPr="008F58CA">
        <w:rPr>
          <w:szCs w:val="13"/>
        </w:rPr>
        <w:t>Strath</w:t>
      </w:r>
      <w:proofErr w:type="spellEnd"/>
      <w:r w:rsidRPr="008F58CA">
        <w:rPr>
          <w:szCs w:val="13"/>
        </w:rPr>
        <w:t xml:space="preserve">, F. Hackett, L. F. </w:t>
      </w:r>
      <w:proofErr w:type="spellStart"/>
      <w:r w:rsidRPr="008F58CA">
        <w:rPr>
          <w:szCs w:val="13"/>
        </w:rPr>
        <w:t>Haire</w:t>
      </w:r>
      <w:proofErr w:type="spellEnd"/>
      <w:r w:rsidRPr="008F58CA">
        <w:rPr>
          <w:szCs w:val="13"/>
        </w:rPr>
        <w:t xml:space="preserve">, S. A. Howell, P. A. Walker, C. </w:t>
      </w:r>
      <w:proofErr w:type="spellStart"/>
      <w:r w:rsidRPr="008F58CA">
        <w:rPr>
          <w:szCs w:val="13"/>
        </w:rPr>
        <w:t>Evangelos</w:t>
      </w:r>
      <w:proofErr w:type="spellEnd"/>
      <w:r w:rsidRPr="008F58CA">
        <w:rPr>
          <w:szCs w:val="13"/>
        </w:rPr>
        <w:t xml:space="preserve">, G. G. Dodson, M. Blackman, J. Nat. </w:t>
      </w:r>
      <w:proofErr w:type="spellStart"/>
      <w:r w:rsidRPr="008F58CA">
        <w:rPr>
          <w:szCs w:val="13"/>
        </w:rPr>
        <w:t>Commun</w:t>
      </w:r>
      <w:proofErr w:type="spellEnd"/>
      <w:r w:rsidRPr="008F58CA">
        <w:rPr>
          <w:szCs w:val="13"/>
        </w:rPr>
        <w:t xml:space="preserve">. 2014, 5, </w:t>
      </w:r>
      <w:r w:rsidRPr="008F58CA">
        <w:rPr>
          <w:szCs w:val="13"/>
          <w:lang w:val="lv-LV"/>
        </w:rPr>
        <w:t>3726</w:t>
      </w:r>
      <w:r w:rsidRPr="008F58CA">
        <w:rPr>
          <w:szCs w:val="13"/>
        </w:rPr>
        <w:t>.</w:t>
      </w:r>
    </w:p>
    <w:p w:rsidR="008F58CA" w:rsidRPr="008F58CA" w:rsidRDefault="008F58CA" w:rsidP="008F58CA">
      <w:pPr>
        <w:pStyle w:val="ElsReferencesHeading"/>
      </w:pPr>
      <w:r w:rsidRPr="008F58CA">
        <w:t>Supplementary Material</w:t>
      </w:r>
    </w:p>
    <w:p w:rsidR="00984DBC" w:rsidRDefault="008F58CA" w:rsidP="008F58CA">
      <w:pPr>
        <w:pStyle w:val="ElsParagraph"/>
      </w:pPr>
      <w:r w:rsidRPr="008F58CA">
        <w:rPr>
          <w:lang w:val="en-GB"/>
        </w:rPr>
        <w:t xml:space="preserve">Synthesis description and spectroscopic characterization of compounds </w:t>
      </w:r>
      <w:r w:rsidRPr="008F58CA">
        <w:rPr>
          <w:b/>
          <w:lang w:val="en-GB"/>
        </w:rPr>
        <w:t>9-27</w:t>
      </w:r>
      <w:r w:rsidRPr="008F58CA">
        <w:rPr>
          <w:lang w:val="en-GB"/>
        </w:rPr>
        <w:t xml:space="preserve"> and their intermediates. Description of enzymatic assay and docking procedure. Copies of 2D NMR spectra</w:t>
      </w:r>
      <w:r w:rsidRPr="008F58CA">
        <w:t>.</w:t>
      </w:r>
      <w:bookmarkStart w:id="0" w:name="_GoBack"/>
      <w:bookmarkEnd w:id="0"/>
    </w:p>
    <w:sectPr w:rsidR="00984DBC" w:rsidSect="00E96835">
      <w:headerReference w:type="even" r:id="rId58"/>
      <w:type w:val="continuous"/>
      <w:pgSz w:w="11906" w:h="16838" w:code="9"/>
      <w:pgMar w:top="964" w:right="766" w:bottom="1242" w:left="766" w:header="720" w:footer="238" w:gutter="0"/>
      <w:cols w:num="2" w:space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8CA" w:rsidRDefault="008F58CA" w:rsidP="008F58CA">
      <w:r>
        <w:separator/>
      </w:r>
    </w:p>
  </w:endnote>
  <w:endnote w:type="continuationSeparator" w:id="0">
    <w:p w:rsidR="008F58CA" w:rsidRDefault="008F58CA" w:rsidP="008F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8CA" w:rsidRDefault="008F58CA" w:rsidP="008F58CA">
      <w:r>
        <w:separator/>
      </w:r>
    </w:p>
  </w:footnote>
  <w:footnote w:type="continuationSeparator" w:id="0">
    <w:p w:rsidR="008F58CA" w:rsidRDefault="008F58CA" w:rsidP="008F58CA">
      <w:r>
        <w:continuationSeparator/>
      </w:r>
    </w:p>
  </w:footnote>
  <w:footnote w:id="1">
    <w:p w:rsidR="008F58CA" w:rsidRDefault="008F58CA" w:rsidP="008F58CA">
      <w:pPr>
        <w:pStyle w:val="ElsCorrespondingAuthor"/>
      </w:pPr>
      <w:r>
        <w:sym w:font="Symbol" w:char="F02A"/>
      </w:r>
      <w:r>
        <w:t xml:space="preserve"> Corresponding author. Tel.: +0-000-000-0000; fax: +0-000-000-0000; e-mail: author@university.edu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8CA" w:rsidRDefault="008F58CA">
    <w:pPr>
      <w:framePr w:wrap="around" w:vAnchor="text" w:hAnchor="margin" w:xAlign="outside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8F58CA" w:rsidRDefault="008F58CA">
    <w:pPr>
      <w:tabs>
        <w:tab w:val="center" w:pos="4560"/>
        <w:tab w:val="right" w:pos="9120"/>
      </w:tabs>
      <w:ind w:right="360" w:firstLine="360"/>
      <w:jc w:val="center"/>
    </w:pPr>
    <w:r>
      <w:t>Bioorganic &amp; Medicinal Chemistry Letters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B7B" w:rsidRDefault="008F58CA">
    <w:pPr>
      <w:framePr w:wrap="around" w:vAnchor="text" w:hAnchor="margin" w:xAlign="outside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</w:t>
    </w:r>
    <w:r>
      <w:fldChar w:fldCharType="end"/>
    </w:r>
  </w:p>
  <w:p w:rsidR="00235B7B" w:rsidRDefault="008F58CA">
    <w:pPr>
      <w:tabs>
        <w:tab w:val="center" w:pos="4560"/>
        <w:tab w:val="right" w:pos="9120"/>
      </w:tabs>
      <w:ind w:right="360" w:firstLine="360"/>
      <w:jc w:val="center"/>
    </w:pPr>
    <w:r>
      <w:t>Bioorganic &amp; Medicinal Chemistry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A4AFC"/>
    <w:multiLevelType w:val="hybridMultilevel"/>
    <w:tmpl w:val="FA12268C"/>
    <w:lvl w:ilvl="0" w:tplc="0B7603DE">
      <w:start w:val="1"/>
      <w:numFmt w:val="decimal"/>
      <w:pStyle w:val="ElsReferences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CA"/>
    <w:rsid w:val="008F58CA"/>
    <w:rsid w:val="0098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43F47"/>
  <w15:chartTrackingRefBased/>
  <w15:docId w15:val="{E6B5DEFD-786B-4273-89DA-B622545C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lsAbstractHead">
    <w:name w:val="Els_AbstractHead"/>
    <w:rsid w:val="008F58CA"/>
    <w:pPr>
      <w:spacing w:after="0" w:line="240" w:lineRule="auto"/>
    </w:pPr>
    <w:rPr>
      <w:rFonts w:ascii="Times New Roman" w:eastAsia="Times New Roman" w:hAnsi="Times New Roman" w:cs="Times New Roman"/>
      <w:smallCaps/>
      <w:spacing w:val="24"/>
      <w:sz w:val="20"/>
      <w:szCs w:val="20"/>
      <w:lang w:val="en-US"/>
    </w:rPr>
  </w:style>
  <w:style w:type="paragraph" w:customStyle="1" w:styleId="ElsAbstractText">
    <w:name w:val="Els_AbstractText"/>
    <w:rsid w:val="008F58CA"/>
    <w:pPr>
      <w:spacing w:after="80" w:line="200" w:lineRule="exact"/>
      <w:jc w:val="both"/>
    </w:pPr>
    <w:rPr>
      <w:rFonts w:ascii="Times New Roman" w:eastAsia="Times New Roman" w:hAnsi="Times New Roman" w:cs="Times New Roman"/>
      <w:sz w:val="17"/>
      <w:szCs w:val="20"/>
      <w:lang w:val="lv-LV"/>
    </w:rPr>
  </w:style>
  <w:style w:type="paragraph" w:customStyle="1" w:styleId="ElsAffiliation">
    <w:name w:val="Els_Affiliation"/>
    <w:rsid w:val="008F58CA"/>
    <w:pPr>
      <w:spacing w:after="0" w:line="200" w:lineRule="exact"/>
    </w:pPr>
    <w:rPr>
      <w:rFonts w:ascii="Times New Roman" w:eastAsia="Times New Roman" w:hAnsi="Times New Roman" w:cs="Times New Roman"/>
      <w:i/>
      <w:sz w:val="16"/>
      <w:szCs w:val="20"/>
      <w:lang w:val="en-US"/>
    </w:rPr>
  </w:style>
  <w:style w:type="paragraph" w:customStyle="1" w:styleId="ElsArticlehistory">
    <w:name w:val="Els_Articlehistory"/>
    <w:rsid w:val="008F58CA"/>
    <w:pPr>
      <w:spacing w:after="0" w:line="200" w:lineRule="exact"/>
    </w:pPr>
    <w:rPr>
      <w:rFonts w:ascii="Times New Roman" w:eastAsia="Times New Roman" w:hAnsi="Times New Roman" w:cs="Times New Roman"/>
      <w:i/>
      <w:sz w:val="16"/>
      <w:szCs w:val="20"/>
      <w:lang w:val="en-US"/>
    </w:rPr>
  </w:style>
  <w:style w:type="paragraph" w:customStyle="1" w:styleId="ElsArticleinfoHead">
    <w:name w:val="Els_ArticleinfoHead"/>
    <w:rsid w:val="008F58CA"/>
    <w:pPr>
      <w:spacing w:after="0" w:line="240" w:lineRule="auto"/>
    </w:pPr>
    <w:rPr>
      <w:rFonts w:ascii="Times New Roman" w:eastAsia="Times New Roman" w:hAnsi="Times New Roman" w:cs="Times New Roman"/>
      <w:smallCaps/>
      <w:spacing w:val="24"/>
      <w:sz w:val="20"/>
      <w:szCs w:val="20"/>
      <w:lang w:val="en-US"/>
    </w:rPr>
  </w:style>
  <w:style w:type="paragraph" w:customStyle="1" w:styleId="ElsArticleTitle">
    <w:name w:val="Els_ArticleTitle"/>
    <w:next w:val="ElsAuthor"/>
    <w:rsid w:val="008F58CA"/>
    <w:pPr>
      <w:spacing w:before="360" w:after="240" w:line="350" w:lineRule="exact"/>
    </w:pPr>
    <w:rPr>
      <w:rFonts w:ascii="Times New Roman" w:eastAsia="Times New Roman" w:hAnsi="Times New Roman" w:cs="Times New Roman"/>
      <w:sz w:val="30"/>
      <w:szCs w:val="20"/>
      <w:lang w:val="en-US"/>
    </w:rPr>
  </w:style>
  <w:style w:type="paragraph" w:customStyle="1" w:styleId="ElsAuthor">
    <w:name w:val="Els_Author"/>
    <w:next w:val="ElsAffiliation"/>
    <w:rsid w:val="008F58CA"/>
    <w:pPr>
      <w:spacing w:line="29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ElsCorrespondingAuthor">
    <w:name w:val="Els_CorrespondingAuthor"/>
    <w:next w:val="Normal"/>
    <w:rsid w:val="008F58CA"/>
    <w:pPr>
      <w:spacing w:before="120" w:after="0" w:line="200" w:lineRule="exact"/>
    </w:pPr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ElsKeyword">
    <w:name w:val="Els_Keyword"/>
    <w:rsid w:val="008F58CA"/>
    <w:pPr>
      <w:spacing w:after="0" w:line="200" w:lineRule="exact"/>
    </w:pPr>
    <w:rPr>
      <w:rFonts w:ascii="Times New Roman" w:eastAsia="Times New Roman" w:hAnsi="Times New Roman" w:cs="Times New Roman"/>
      <w:sz w:val="16"/>
      <w:szCs w:val="20"/>
      <w:lang w:val="en-US"/>
    </w:rPr>
  </w:style>
  <w:style w:type="paragraph" w:customStyle="1" w:styleId="ElsKeywordHead">
    <w:name w:val="Els_KeywordHead"/>
    <w:next w:val="ElsKeyword"/>
    <w:rsid w:val="008F58CA"/>
    <w:pPr>
      <w:spacing w:after="0" w:line="200" w:lineRule="exact"/>
    </w:pPr>
    <w:rPr>
      <w:rFonts w:ascii="Times New Roman" w:eastAsia="Times New Roman" w:hAnsi="Times New Roman" w:cs="Times New Roman"/>
      <w:i/>
      <w:noProof/>
      <w:sz w:val="16"/>
      <w:szCs w:val="20"/>
      <w:lang w:val="en-US"/>
    </w:rPr>
  </w:style>
  <w:style w:type="paragraph" w:customStyle="1" w:styleId="ElsParagraph">
    <w:name w:val="Els_Paragraph"/>
    <w:rsid w:val="008F58CA"/>
    <w:pPr>
      <w:spacing w:after="120" w:line="220" w:lineRule="exact"/>
      <w:ind w:firstLine="230"/>
      <w:jc w:val="both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ElsAcknowledgementsHeading">
    <w:name w:val="Els_AcknowledgementsHeading"/>
    <w:next w:val="ElsParagraph"/>
    <w:rsid w:val="008F58CA"/>
    <w:pPr>
      <w:spacing w:before="220" w:after="220" w:line="220" w:lineRule="exact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ElsReferencesHeading">
    <w:name w:val="Els_ReferencesHeading"/>
    <w:next w:val="ElsReferences"/>
    <w:rsid w:val="008F58CA"/>
    <w:pPr>
      <w:keepNext/>
      <w:spacing w:before="240" w:after="240" w:line="240" w:lineRule="auto"/>
    </w:pPr>
    <w:rPr>
      <w:rFonts w:ascii="Times New Roman" w:eastAsia="Times New Roman" w:hAnsi="Times New Roman" w:cs="Times New Roman"/>
      <w:b/>
      <w:sz w:val="19"/>
      <w:szCs w:val="20"/>
      <w:lang w:val="en-US"/>
    </w:rPr>
  </w:style>
  <w:style w:type="paragraph" w:customStyle="1" w:styleId="ElsReferences">
    <w:name w:val="Els_References"/>
    <w:rsid w:val="008F58C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US"/>
    </w:rPr>
  </w:style>
  <w:style w:type="paragraph" w:customStyle="1" w:styleId="ElsFigureCaption">
    <w:name w:val="Els_FigureCaption"/>
    <w:rsid w:val="008F58CA"/>
    <w:pPr>
      <w:spacing w:after="0" w:line="220" w:lineRule="exact"/>
      <w:ind w:firstLine="230"/>
    </w:pPr>
    <w:rPr>
      <w:rFonts w:ascii="Times New Roman" w:eastAsia="Times New Roman" w:hAnsi="Times New Roman" w:cs="Times New Roman"/>
      <w:sz w:val="16"/>
      <w:szCs w:val="20"/>
      <w:lang w:val="en-US"/>
    </w:rPr>
  </w:style>
  <w:style w:type="paragraph" w:customStyle="1" w:styleId="ElsTableCaption">
    <w:name w:val="Els_TableCaption"/>
    <w:next w:val="ElsParagraph"/>
    <w:rsid w:val="008F58CA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lsLegend">
    <w:name w:val="Els_Legend"/>
    <w:rsid w:val="008F58CA"/>
    <w:pPr>
      <w:spacing w:after="120" w:line="180" w:lineRule="exact"/>
    </w:pPr>
    <w:rPr>
      <w:rFonts w:ascii="Times New Roman" w:eastAsia="Times New Roman" w:hAnsi="Times New Roman" w:cs="Times New Roman"/>
      <w:sz w:val="16"/>
      <w:szCs w:val="20"/>
      <w:lang w:val="en-US"/>
    </w:rPr>
  </w:style>
  <w:style w:type="paragraph" w:customStyle="1" w:styleId="08ArticleText">
    <w:name w:val="08 Article Text"/>
    <w:basedOn w:val="Normal"/>
    <w:link w:val="08ArticleTextChar"/>
    <w:qFormat/>
    <w:rsid w:val="008F58CA"/>
    <w:pPr>
      <w:tabs>
        <w:tab w:val="left" w:pos="284"/>
      </w:tabs>
      <w:spacing w:line="240" w:lineRule="exact"/>
      <w:jc w:val="both"/>
    </w:pPr>
    <w:rPr>
      <w:rFonts w:eastAsia="Calibri"/>
      <w:w w:val="108"/>
      <w:sz w:val="18"/>
      <w:szCs w:val="18"/>
      <w:lang w:val="en-GB"/>
    </w:rPr>
  </w:style>
  <w:style w:type="character" w:customStyle="1" w:styleId="08ArticleTextChar">
    <w:name w:val="08 Article Text Char"/>
    <w:link w:val="08ArticleText"/>
    <w:rsid w:val="008F58CA"/>
    <w:rPr>
      <w:rFonts w:ascii="Times New Roman" w:eastAsia="Calibri" w:hAnsi="Times New Roman" w:cs="Times New Roman"/>
      <w:w w:val="108"/>
      <w:sz w:val="18"/>
      <w:szCs w:val="18"/>
    </w:rPr>
  </w:style>
  <w:style w:type="character" w:styleId="Hyperlink">
    <w:name w:val="Hyperlink"/>
    <w:basedOn w:val="DefaultParagraphFont"/>
    <w:rsid w:val="008F58CA"/>
    <w:rPr>
      <w:color w:val="0000FF"/>
      <w:u w:val="single"/>
    </w:rPr>
  </w:style>
  <w:style w:type="paragraph" w:styleId="Revision">
    <w:name w:val="Revision"/>
    <w:hidden/>
    <w:uiPriority w:val="99"/>
    <w:semiHidden/>
    <w:rsid w:val="008F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8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8C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7.emf"/><Relationship Id="rId50" Type="http://schemas.openxmlformats.org/officeDocument/2006/relationships/oleObject" Target="embeddings/oleObject25.bin"/><Relationship Id="rId55" Type="http://schemas.openxmlformats.org/officeDocument/2006/relationships/image" Target="media/image21.emf"/><Relationship Id="rId7" Type="http://schemas.openxmlformats.org/officeDocument/2006/relationships/header" Target="header1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e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3.bin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e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6.emf"/><Relationship Id="rId53" Type="http://schemas.openxmlformats.org/officeDocument/2006/relationships/image" Target="media/image20.emf"/><Relationship Id="rId58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emf"/><Relationship Id="rId36" Type="http://schemas.openxmlformats.org/officeDocument/2006/relationships/oleObject" Target="embeddings/oleObject14.bin"/><Relationship Id="rId49" Type="http://schemas.openxmlformats.org/officeDocument/2006/relationships/image" Target="media/image18.emf"/><Relationship Id="rId57" Type="http://schemas.openxmlformats.org/officeDocument/2006/relationships/hyperlink" Target="http://www.who.int/malaria/media/world_malaria_report_2013/en/" TargetMode="External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31" Type="http://schemas.openxmlformats.org/officeDocument/2006/relationships/image" Target="media/image13.e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png"/><Relationship Id="rId35" Type="http://schemas.openxmlformats.org/officeDocument/2006/relationships/image" Target="media/image15.e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8" Type="http://schemas.openxmlformats.org/officeDocument/2006/relationships/image" Target="media/image1.emf"/><Relationship Id="rId51" Type="http://schemas.openxmlformats.org/officeDocument/2006/relationships/image" Target="media/image19.e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2572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17199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Wolff</dc:creator>
  <cp:keywords/>
  <dc:description/>
  <cp:lastModifiedBy>Helen Wolff</cp:lastModifiedBy>
  <cp:revision>1</cp:revision>
  <dcterms:created xsi:type="dcterms:W3CDTF">2016-05-04T09:17:00Z</dcterms:created>
  <dcterms:modified xsi:type="dcterms:W3CDTF">2016-05-04T09:19:00Z</dcterms:modified>
</cp:coreProperties>
</file>