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06967" w14:textId="7199E69A" w:rsidR="008509DB" w:rsidRPr="002F3B34" w:rsidRDefault="005B555D" w:rsidP="008509DB">
      <w:pPr>
        <w:rPr>
          <w:rFonts w:ascii="Times New Roman" w:hAnsi="Times New Roman" w:cs="Times New Roman"/>
          <w:b/>
          <w:szCs w:val="24"/>
        </w:rPr>
      </w:pPr>
      <w:bookmarkStart w:id="0" w:name="_GoBack"/>
      <w:bookmarkEnd w:id="0"/>
      <w:r w:rsidRPr="002F3B34">
        <w:rPr>
          <w:rFonts w:ascii="Times New Roman" w:hAnsi="Times New Roman" w:cs="Times New Roman"/>
          <w:b/>
          <w:szCs w:val="24"/>
        </w:rPr>
        <w:t>Web Appendix</w:t>
      </w:r>
    </w:p>
    <w:p w14:paraId="40C863EB" w14:textId="77777777" w:rsidR="008509DB" w:rsidRPr="002F3B34" w:rsidRDefault="008509DB" w:rsidP="008509DB">
      <w:pPr>
        <w:rPr>
          <w:rFonts w:ascii="Times New Roman" w:hAnsi="Times New Roman" w:cs="Times New Roman"/>
          <w:szCs w:val="24"/>
        </w:rPr>
      </w:pPr>
    </w:p>
    <w:p w14:paraId="62ADFD7E" w14:textId="77777777" w:rsidR="003464A5" w:rsidRPr="002F3B34" w:rsidRDefault="005B555D" w:rsidP="003464A5">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Web Appendix 1: Change in GDP and government health spending across country-specific recession and austerity period</w:t>
      </w:r>
    </w:p>
    <w:p w14:paraId="47E2C3C8" w14:textId="77777777" w:rsidR="00CB794B" w:rsidRPr="002F3B34" w:rsidRDefault="00CB794B" w:rsidP="008509DB">
      <w:pPr>
        <w:rPr>
          <w:rFonts w:ascii="Times New Roman" w:hAnsi="Times New Roman" w:cs="Times New Roman"/>
          <w:sz w:val="20"/>
          <w:szCs w:val="20"/>
        </w:rPr>
      </w:pPr>
    </w:p>
    <w:p w14:paraId="617DB6E8" w14:textId="77777777" w:rsidR="00CB794B" w:rsidRPr="002F3B34" w:rsidRDefault="005B555D" w:rsidP="008509DB">
      <w:pPr>
        <w:rPr>
          <w:rFonts w:ascii="Times New Roman" w:hAnsi="Times New Roman" w:cs="Times New Roman"/>
          <w:szCs w:val="24"/>
        </w:rPr>
      </w:pPr>
      <w:r w:rsidRPr="002F3B34">
        <w:rPr>
          <w:rFonts w:ascii="Times New Roman" w:hAnsi="Times New Roman" w:cs="Times New Roman"/>
          <w:szCs w:val="24"/>
        </w:rPr>
        <w:t>Web Appendix 2: Summary statistics</w:t>
      </w:r>
    </w:p>
    <w:p w14:paraId="2EDEC7A9" w14:textId="77777777" w:rsidR="004C0E6A" w:rsidRPr="002F3B34" w:rsidRDefault="004C0E6A" w:rsidP="008509DB">
      <w:pPr>
        <w:rPr>
          <w:rFonts w:ascii="Times New Roman" w:hAnsi="Times New Roman" w:cs="Times New Roman"/>
          <w:szCs w:val="24"/>
        </w:rPr>
      </w:pPr>
    </w:p>
    <w:p w14:paraId="339E6F05" w14:textId="77777777" w:rsidR="001317F7" w:rsidRPr="00A04F75" w:rsidRDefault="001317F7" w:rsidP="008509DB">
      <w:pPr>
        <w:rPr>
          <w:rFonts w:ascii="Times New Roman" w:hAnsi="Times New Roman" w:cs="Times New Roman"/>
          <w:szCs w:val="24"/>
        </w:rPr>
      </w:pPr>
      <w:r w:rsidRPr="00A04F75">
        <w:rPr>
          <w:rFonts w:ascii="Times New Roman" w:hAnsi="Times New Roman" w:cs="Times New Roman"/>
          <w:szCs w:val="24"/>
        </w:rPr>
        <w:t>Web Appendix 3: Logistic regression of healthcare austerity controlling for economic and political determinants, 27 EU countries, 1995-2011</w:t>
      </w:r>
    </w:p>
    <w:p w14:paraId="6015D760" w14:textId="77777777" w:rsidR="001317F7" w:rsidRPr="00A04F75" w:rsidRDefault="001317F7" w:rsidP="008509DB">
      <w:pPr>
        <w:rPr>
          <w:rFonts w:ascii="Times New Roman" w:hAnsi="Times New Roman" w:cs="Times New Roman"/>
          <w:szCs w:val="24"/>
        </w:rPr>
      </w:pPr>
    </w:p>
    <w:p w14:paraId="40F45F6F" w14:textId="77777777" w:rsidR="004C0E6A" w:rsidRPr="002F3B34" w:rsidRDefault="005B555D" w:rsidP="004C0E6A">
      <w:pPr>
        <w:rPr>
          <w:rFonts w:ascii="Times New Roman" w:hAnsi="Times New Roman" w:cs="Times New Roman"/>
          <w:szCs w:val="24"/>
        </w:rPr>
      </w:pPr>
      <w:r w:rsidRPr="00A04F75">
        <w:rPr>
          <w:rFonts w:ascii="Times New Roman" w:hAnsi="Times New Roman" w:cs="Times New Roman"/>
          <w:szCs w:val="24"/>
        </w:rPr>
        <w:t xml:space="preserve">Web Appendix </w:t>
      </w:r>
      <w:r w:rsidR="001317F7" w:rsidRPr="00A04F75">
        <w:rPr>
          <w:rFonts w:ascii="Times New Roman" w:hAnsi="Times New Roman" w:cs="Times New Roman"/>
          <w:szCs w:val="24"/>
        </w:rPr>
        <w:t>4</w:t>
      </w:r>
      <w:r w:rsidRPr="002F3B34">
        <w:rPr>
          <w:rFonts w:ascii="Times New Roman" w:hAnsi="Times New Roman" w:cs="Times New Roman"/>
          <w:szCs w:val="24"/>
        </w:rPr>
        <w:t>: Fixed effects regression of healthcare austerity controlling for economic and political determinants, 27 EU countries, 1995-2011</w:t>
      </w:r>
    </w:p>
    <w:p w14:paraId="79FDEBD4" w14:textId="77777777" w:rsidR="004C0E6A" w:rsidRPr="002F3B34" w:rsidRDefault="004C0E6A" w:rsidP="004C0E6A">
      <w:pPr>
        <w:outlineLvl w:val="0"/>
        <w:rPr>
          <w:rFonts w:ascii="Times New Roman" w:hAnsi="Times New Roman" w:cs="Times New Roman"/>
          <w:szCs w:val="24"/>
        </w:rPr>
      </w:pPr>
    </w:p>
    <w:p w14:paraId="1D4D214C" w14:textId="77777777" w:rsidR="004C0E6A" w:rsidRPr="002F3B34" w:rsidRDefault="005B555D" w:rsidP="004C0E6A">
      <w:pPr>
        <w:rPr>
          <w:rFonts w:ascii="Times New Roman" w:hAnsi="Times New Roman" w:cs="Times New Roman"/>
          <w:szCs w:val="24"/>
        </w:rPr>
      </w:pPr>
      <w:r w:rsidRPr="002F3B34">
        <w:rPr>
          <w:rFonts w:ascii="Times New Roman" w:hAnsi="Times New Roman" w:cs="Times New Roman"/>
          <w:szCs w:val="24"/>
        </w:rPr>
        <w:t xml:space="preserve">Web Appendix </w:t>
      </w:r>
      <w:r w:rsidR="001317F7" w:rsidRPr="00A04F75">
        <w:rPr>
          <w:rFonts w:ascii="Times New Roman" w:hAnsi="Times New Roman" w:cs="Times New Roman"/>
          <w:szCs w:val="24"/>
        </w:rPr>
        <w:t>5</w:t>
      </w:r>
      <w:r w:rsidRPr="002F3B34">
        <w:rPr>
          <w:rFonts w:ascii="Times New Roman" w:hAnsi="Times New Roman" w:cs="Times New Roman"/>
          <w:szCs w:val="24"/>
        </w:rPr>
        <w:t>: Coefficients of a Hausman test comparing the fixed- and random-effects models among 27 EU countries, 1995-2011</w:t>
      </w:r>
    </w:p>
    <w:p w14:paraId="33032F0F" w14:textId="77777777" w:rsidR="004C0E6A" w:rsidRPr="002F3B34" w:rsidRDefault="004C0E6A" w:rsidP="004C0E6A">
      <w:pPr>
        <w:outlineLvl w:val="0"/>
        <w:rPr>
          <w:rFonts w:ascii="Times New Roman" w:hAnsi="Times New Roman" w:cs="Times New Roman"/>
          <w:szCs w:val="24"/>
        </w:rPr>
      </w:pPr>
    </w:p>
    <w:p w14:paraId="1C31331C" w14:textId="77777777" w:rsidR="004C0E6A" w:rsidRPr="002F3B34" w:rsidRDefault="005B555D" w:rsidP="004C0E6A">
      <w:pPr>
        <w:rPr>
          <w:rFonts w:ascii="Times New Roman" w:hAnsi="Times New Roman" w:cs="Times New Roman"/>
          <w:szCs w:val="24"/>
        </w:rPr>
      </w:pPr>
      <w:r w:rsidRPr="002F3B34">
        <w:rPr>
          <w:rFonts w:ascii="Times New Roman" w:hAnsi="Times New Roman" w:cs="Times New Roman"/>
          <w:szCs w:val="24"/>
        </w:rPr>
        <w:t xml:space="preserve">Web Appendix </w:t>
      </w:r>
      <w:r w:rsidR="001317F7" w:rsidRPr="00A04F75">
        <w:rPr>
          <w:rFonts w:ascii="Times New Roman" w:hAnsi="Times New Roman" w:cs="Times New Roman"/>
          <w:szCs w:val="24"/>
        </w:rPr>
        <w:t>6</w:t>
      </w:r>
      <w:r w:rsidRPr="002F3B34">
        <w:rPr>
          <w:rFonts w:ascii="Times New Roman" w:hAnsi="Times New Roman" w:cs="Times New Roman"/>
          <w:szCs w:val="24"/>
        </w:rPr>
        <w:t xml:space="preserve">: Treatment selection model for IMF intervention among 27 EU countries, 1995-2011 </w:t>
      </w:r>
    </w:p>
    <w:p w14:paraId="268278CA" w14:textId="77777777" w:rsidR="00A47A28" w:rsidRPr="002F3B34" w:rsidRDefault="00A47A28" w:rsidP="008509DB">
      <w:pPr>
        <w:rPr>
          <w:rFonts w:ascii="Times New Roman" w:hAnsi="Times New Roman" w:cs="Times New Roman"/>
          <w:sz w:val="20"/>
          <w:szCs w:val="20"/>
        </w:rPr>
      </w:pPr>
    </w:p>
    <w:p w14:paraId="76609906" w14:textId="77777777" w:rsidR="004F0B92" w:rsidRPr="002F3B34" w:rsidRDefault="005B555D" w:rsidP="004F0B92">
      <w:pPr>
        <w:rPr>
          <w:rFonts w:ascii="Times New Roman" w:hAnsi="Times New Roman" w:cs="Times New Roman"/>
          <w:szCs w:val="24"/>
        </w:rPr>
      </w:pPr>
      <w:r w:rsidRPr="002F3B34">
        <w:rPr>
          <w:rFonts w:ascii="Times New Roman" w:hAnsi="Times New Roman" w:cs="Times New Roman"/>
          <w:szCs w:val="24"/>
        </w:rPr>
        <w:t xml:space="preserve">Web Appendix </w:t>
      </w:r>
      <w:r w:rsidR="001317F7" w:rsidRPr="00A04F75">
        <w:rPr>
          <w:rFonts w:ascii="Times New Roman" w:hAnsi="Times New Roman" w:cs="Times New Roman"/>
          <w:szCs w:val="24"/>
        </w:rPr>
        <w:t>7</w:t>
      </w:r>
      <w:r w:rsidRPr="002F3B34">
        <w:rPr>
          <w:rFonts w:ascii="Times New Roman" w:hAnsi="Times New Roman" w:cs="Times New Roman"/>
          <w:szCs w:val="24"/>
        </w:rPr>
        <w:t>: Regression of healthcare austerity controlling for economic and political determinants, 26 EU countries (excluding Greece), 1995-2011</w:t>
      </w:r>
    </w:p>
    <w:p w14:paraId="72DB6B7F" w14:textId="77777777" w:rsidR="004F0B92" w:rsidRPr="002F3B34" w:rsidRDefault="004F0B92" w:rsidP="008509DB">
      <w:pPr>
        <w:rPr>
          <w:rFonts w:ascii="Times New Roman" w:hAnsi="Times New Roman" w:cs="Times New Roman"/>
          <w:sz w:val="20"/>
          <w:szCs w:val="20"/>
        </w:rPr>
      </w:pPr>
    </w:p>
    <w:p w14:paraId="66B7CBC3" w14:textId="77777777" w:rsidR="004F0B92" w:rsidRPr="002F3B34" w:rsidRDefault="005B555D" w:rsidP="004F0B92">
      <w:pPr>
        <w:rPr>
          <w:rFonts w:ascii="Times New Roman" w:hAnsi="Times New Roman" w:cs="Times New Roman"/>
          <w:szCs w:val="24"/>
        </w:rPr>
      </w:pPr>
      <w:r w:rsidRPr="002F3B34">
        <w:rPr>
          <w:rFonts w:ascii="Times New Roman" w:hAnsi="Times New Roman" w:cs="Times New Roman"/>
          <w:szCs w:val="24"/>
        </w:rPr>
        <w:t xml:space="preserve">Web Appendix </w:t>
      </w:r>
      <w:r w:rsidR="001317F7" w:rsidRPr="00A04F75">
        <w:rPr>
          <w:rFonts w:ascii="Times New Roman" w:hAnsi="Times New Roman" w:cs="Times New Roman"/>
          <w:szCs w:val="24"/>
        </w:rPr>
        <w:t>8</w:t>
      </w:r>
      <w:r w:rsidRPr="002F3B34">
        <w:rPr>
          <w:rFonts w:ascii="Times New Roman" w:hAnsi="Times New Roman" w:cs="Times New Roman"/>
          <w:szCs w:val="24"/>
        </w:rPr>
        <w:t xml:space="preserve">: Economic and political determinants of annual change in health spending among 27 EU countries, 1995-2011, </w:t>
      </w:r>
      <w:r w:rsidR="009D3BA4" w:rsidRPr="00A04F75">
        <w:rPr>
          <w:rFonts w:ascii="Times New Roman" w:hAnsi="Times New Roman" w:cs="Times New Roman"/>
          <w:szCs w:val="24"/>
        </w:rPr>
        <w:t>excluding</w:t>
      </w:r>
      <w:r w:rsidRPr="002F3B34">
        <w:rPr>
          <w:rFonts w:ascii="Times New Roman" w:hAnsi="Times New Roman" w:cs="Times New Roman"/>
          <w:szCs w:val="24"/>
        </w:rPr>
        <w:t xml:space="preserve"> outliers (residuals &gt;2 standard deviations)</w:t>
      </w:r>
    </w:p>
    <w:p w14:paraId="3410F5F2" w14:textId="77777777" w:rsidR="00501F4F" w:rsidRPr="00A84EB0" w:rsidRDefault="00501F4F" w:rsidP="00A84EB0">
      <w:pPr>
        <w:outlineLvl w:val="0"/>
        <w:rPr>
          <w:rFonts w:ascii="Times New Roman" w:hAnsi="Times New Roman"/>
        </w:rPr>
      </w:pPr>
    </w:p>
    <w:p w14:paraId="09B8134B" w14:textId="77777777" w:rsidR="00A47A28" w:rsidRPr="002F3B34" w:rsidRDefault="005B555D" w:rsidP="00A47A28">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 xml:space="preserve">Web Appendix </w:t>
      </w:r>
      <w:r w:rsidR="000F05DE" w:rsidRPr="00A04F75">
        <w:rPr>
          <w:rFonts w:ascii="Times New Roman" w:hAnsi="Times New Roman" w:cs="Times New Roman"/>
          <w:szCs w:val="24"/>
        </w:rPr>
        <w:t>9</w:t>
      </w:r>
      <w:r w:rsidRPr="002F3B34">
        <w:rPr>
          <w:rFonts w:ascii="Times New Roman" w:hAnsi="Times New Roman" w:cs="Times New Roman"/>
          <w:szCs w:val="24"/>
        </w:rPr>
        <w:t>: Economic and political determinants of the change in health spending between 2010-2011 among 27 EU countries.</w:t>
      </w:r>
    </w:p>
    <w:p w14:paraId="75C8D792" w14:textId="77777777" w:rsidR="00A47A28" w:rsidRPr="002F3B34" w:rsidRDefault="00A47A28" w:rsidP="00A47A28">
      <w:pPr>
        <w:widowControl w:val="0"/>
        <w:autoSpaceDE w:val="0"/>
        <w:autoSpaceDN w:val="0"/>
        <w:adjustRightInd w:val="0"/>
        <w:rPr>
          <w:rFonts w:ascii="Times New Roman" w:hAnsi="Times New Roman" w:cs="Times New Roman"/>
          <w:szCs w:val="24"/>
        </w:rPr>
      </w:pPr>
    </w:p>
    <w:p w14:paraId="3502E623" w14:textId="77777777" w:rsidR="00A72AC2" w:rsidRPr="002F3B34" w:rsidRDefault="005B555D" w:rsidP="00A84EB0">
      <w:pPr>
        <w:rPr>
          <w:rFonts w:ascii="Times New Roman" w:hAnsi="Times New Roman" w:cs="Times New Roman"/>
          <w:szCs w:val="24"/>
        </w:rPr>
      </w:pPr>
      <w:r w:rsidRPr="002F3B34">
        <w:rPr>
          <w:rFonts w:ascii="Times New Roman" w:hAnsi="Times New Roman" w:cs="Times New Roman"/>
          <w:szCs w:val="24"/>
        </w:rPr>
        <w:t>Web Appendix 9: Specification tests for the extended (1995-2011</w:t>
      </w:r>
      <w:r w:rsidR="00585500">
        <w:rPr>
          <w:rFonts w:ascii="Times New Roman" w:hAnsi="Times New Roman" w:cs="Times New Roman"/>
          <w:szCs w:val="24"/>
        </w:rPr>
        <w:t xml:space="preserve">, </w:t>
      </w:r>
      <w:r w:rsidR="00C81F09" w:rsidRPr="00A04F75">
        <w:rPr>
          <w:rFonts w:ascii="Times New Roman" w:hAnsi="Times New Roman" w:cs="Times New Roman"/>
          <w:szCs w:val="24"/>
        </w:rPr>
        <w:t>cumulative decline across recession period</w:t>
      </w:r>
    </w:p>
    <w:p w14:paraId="4B43AE59" w14:textId="77777777" w:rsidR="00C57FC9" w:rsidRPr="002F3B34" w:rsidRDefault="00C57FC9" w:rsidP="00A84EB0">
      <w:pPr>
        <w:rPr>
          <w:rFonts w:ascii="Times New Roman" w:hAnsi="Times New Roman" w:cs="Times New Roman"/>
          <w:szCs w:val="24"/>
        </w:rPr>
      </w:pPr>
    </w:p>
    <w:p w14:paraId="7E8459CE" w14:textId="77777777" w:rsidR="00C57FC9" w:rsidRPr="002F3B34" w:rsidRDefault="005B555D" w:rsidP="00C57FC9">
      <w:pPr>
        <w:rPr>
          <w:rFonts w:ascii="Times New Roman" w:hAnsi="Times New Roman" w:cs="Times New Roman"/>
          <w:szCs w:val="24"/>
        </w:rPr>
      </w:pPr>
      <w:r w:rsidRPr="002F3B34">
        <w:rPr>
          <w:rFonts w:ascii="Times New Roman" w:hAnsi="Times New Roman" w:cs="Times New Roman"/>
          <w:szCs w:val="24"/>
        </w:rPr>
        <w:t>Web Appendix 10: Economic and political determinants of annual change in health spending among 27 EU countries, 1995-2011</w:t>
      </w:r>
      <w:r w:rsidR="00585500" w:rsidRPr="00585500">
        <w:rPr>
          <w:rFonts w:ascii="Times New Roman" w:hAnsi="Times New Roman"/>
          <w:bCs/>
          <w:szCs w:val="24"/>
        </w:rPr>
        <w:t>, adjusted for annual change in government spending</w:t>
      </w:r>
    </w:p>
    <w:p w14:paraId="36762CFF" w14:textId="77777777" w:rsidR="006937C8" w:rsidRPr="002F3B34" w:rsidRDefault="006937C8" w:rsidP="00C57FC9">
      <w:pPr>
        <w:rPr>
          <w:rFonts w:ascii="Times New Roman" w:hAnsi="Times New Roman" w:cs="Times New Roman"/>
          <w:szCs w:val="24"/>
        </w:rPr>
      </w:pPr>
    </w:p>
    <w:p w14:paraId="6EA90189" w14:textId="77777777" w:rsidR="006937C8" w:rsidRPr="002F3B34" w:rsidRDefault="005B555D" w:rsidP="006937C8">
      <w:pPr>
        <w:rPr>
          <w:rFonts w:ascii="Times New Roman" w:hAnsi="Times New Roman" w:cs="Times New Roman"/>
          <w:szCs w:val="24"/>
        </w:rPr>
      </w:pPr>
      <w:r w:rsidRPr="002F3B34">
        <w:rPr>
          <w:rFonts w:ascii="Times New Roman" w:hAnsi="Times New Roman" w:cs="Times New Roman"/>
          <w:szCs w:val="24"/>
        </w:rPr>
        <w:t>Web Appendix 11: Economic and political determinants of annual change in health spending on social health insurance among 21 EU countries, 1995-2011</w:t>
      </w:r>
    </w:p>
    <w:p w14:paraId="64ACC8DF" w14:textId="77777777" w:rsidR="004F0B92" w:rsidRPr="002F3B34" w:rsidRDefault="004F0B92" w:rsidP="00A72AC2">
      <w:pPr>
        <w:outlineLvl w:val="0"/>
        <w:rPr>
          <w:rFonts w:ascii="Times New Roman" w:hAnsi="Times New Roman" w:cs="Times New Roman"/>
          <w:szCs w:val="24"/>
        </w:rPr>
      </w:pPr>
    </w:p>
    <w:p w14:paraId="53A306A0" w14:textId="77777777" w:rsidR="00782C9C" w:rsidRPr="002F3B34" w:rsidRDefault="00782C9C" w:rsidP="00782C9C">
      <w:pPr>
        <w:rPr>
          <w:rFonts w:ascii="Times New Roman" w:hAnsi="Times New Roman" w:cs="Times New Roman"/>
          <w:szCs w:val="24"/>
        </w:rPr>
      </w:pPr>
      <w:r w:rsidRPr="002F3B34">
        <w:rPr>
          <w:rFonts w:ascii="Times New Roman" w:hAnsi="Times New Roman" w:cs="Times New Roman"/>
          <w:szCs w:val="24"/>
        </w:rPr>
        <w:t>Web Appendix 12: Economic and political determinants of annual change in health spending on change in the level of private healthcare spending among 21 EU countries, 1995-2011</w:t>
      </w:r>
    </w:p>
    <w:p w14:paraId="30420C61" w14:textId="77777777" w:rsidR="0060752D" w:rsidRPr="002F3B34" w:rsidRDefault="0060752D" w:rsidP="00A72AC2">
      <w:pPr>
        <w:outlineLvl w:val="0"/>
        <w:rPr>
          <w:rFonts w:ascii="Times New Roman" w:hAnsi="Times New Roman" w:cs="Times New Roman"/>
          <w:szCs w:val="24"/>
        </w:rPr>
      </w:pPr>
    </w:p>
    <w:p w14:paraId="70E1C06C" w14:textId="77777777" w:rsidR="004858B6" w:rsidRPr="00A04F75" w:rsidRDefault="004858B6" w:rsidP="004858B6">
      <w:pPr>
        <w:rPr>
          <w:rFonts w:ascii="Times New Roman" w:hAnsi="Times New Roman" w:cs="Times New Roman"/>
          <w:szCs w:val="24"/>
        </w:rPr>
      </w:pPr>
      <w:r w:rsidRPr="00A04F75">
        <w:rPr>
          <w:rFonts w:ascii="Times New Roman" w:hAnsi="Times New Roman" w:cs="Times New Roman"/>
          <w:szCs w:val="24"/>
        </w:rPr>
        <w:t>Web Appendix 1</w:t>
      </w:r>
      <w:r w:rsidR="00585500">
        <w:rPr>
          <w:rFonts w:ascii="Times New Roman" w:hAnsi="Times New Roman" w:cs="Times New Roman"/>
          <w:szCs w:val="24"/>
        </w:rPr>
        <w:t>3</w:t>
      </w:r>
      <w:r w:rsidRPr="00A04F75">
        <w:rPr>
          <w:rFonts w:ascii="Times New Roman" w:hAnsi="Times New Roman" w:cs="Times New Roman"/>
          <w:szCs w:val="24"/>
        </w:rPr>
        <w:t>: Fixed effects logistic regression of healthcare austerity controlling for economic and political determinants, 27 EU countries, 1995-2011</w:t>
      </w:r>
    </w:p>
    <w:p w14:paraId="1F9FF19D" w14:textId="77777777" w:rsidR="0060752D" w:rsidRPr="002F3B34" w:rsidRDefault="0060752D" w:rsidP="00A72AC2">
      <w:pPr>
        <w:outlineLvl w:val="0"/>
        <w:rPr>
          <w:rFonts w:ascii="Times New Roman" w:hAnsi="Times New Roman" w:cs="Times New Roman"/>
          <w:szCs w:val="24"/>
        </w:rPr>
      </w:pPr>
    </w:p>
    <w:p w14:paraId="5604C99C" w14:textId="77777777" w:rsidR="00A72AC2" w:rsidRPr="002F3B34" w:rsidRDefault="00A72AC2" w:rsidP="00A47A28">
      <w:pPr>
        <w:widowControl w:val="0"/>
        <w:autoSpaceDE w:val="0"/>
        <w:autoSpaceDN w:val="0"/>
        <w:adjustRightInd w:val="0"/>
        <w:rPr>
          <w:rFonts w:ascii="Times New Roman" w:hAnsi="Times New Roman" w:cs="Times New Roman"/>
          <w:szCs w:val="24"/>
        </w:rPr>
      </w:pPr>
    </w:p>
    <w:p w14:paraId="10B73AA5" w14:textId="77777777" w:rsidR="00DF10B5" w:rsidRPr="002F3B34" w:rsidRDefault="00DF10B5" w:rsidP="008509DB">
      <w:pPr>
        <w:rPr>
          <w:rFonts w:ascii="Times New Roman" w:hAnsi="Times New Roman" w:cs="Times New Roman"/>
          <w:sz w:val="20"/>
          <w:szCs w:val="20"/>
        </w:rPr>
      </w:pPr>
    </w:p>
    <w:p w14:paraId="60517EAB" w14:textId="77777777" w:rsidR="00A72AC2" w:rsidRPr="002F3B34" w:rsidRDefault="00A72AC2" w:rsidP="008509DB">
      <w:pPr>
        <w:rPr>
          <w:rFonts w:ascii="Times New Roman" w:hAnsi="Times New Roman" w:cs="Times New Roman"/>
          <w:sz w:val="20"/>
          <w:szCs w:val="20"/>
        </w:rPr>
      </w:pPr>
    </w:p>
    <w:p w14:paraId="31753ED6" w14:textId="77777777" w:rsidR="00A72AC2" w:rsidRPr="002F3B34" w:rsidRDefault="00A72AC2" w:rsidP="008509DB">
      <w:pPr>
        <w:rPr>
          <w:rFonts w:ascii="Times New Roman" w:hAnsi="Times New Roman" w:cs="Times New Roman"/>
          <w:sz w:val="20"/>
          <w:szCs w:val="20"/>
        </w:rPr>
        <w:sectPr w:rsidR="00A72AC2" w:rsidRPr="002F3B34" w:rsidSect="008509DB">
          <w:footerReference w:type="default" r:id="rId10"/>
          <w:pgSz w:w="11906" w:h="16838"/>
          <w:pgMar w:top="1440" w:right="1440" w:bottom="1440" w:left="1440" w:header="708" w:footer="708" w:gutter="0"/>
          <w:cols w:space="708"/>
          <w:docGrid w:linePitch="360"/>
        </w:sectPr>
      </w:pPr>
    </w:p>
    <w:p w14:paraId="79F873FA" w14:textId="77777777" w:rsidR="00A47A28" w:rsidRPr="002F3B34" w:rsidRDefault="005B555D">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lastRenderedPageBreak/>
        <w:t>Web Appendix 1: Change in GDP and government health spending across country-specific recession and austerity period</w:t>
      </w:r>
    </w:p>
    <w:tbl>
      <w:tblPr>
        <w:tblW w:w="4869" w:type="pct"/>
        <w:tblLayout w:type="fixed"/>
        <w:tblLook w:val="04A0" w:firstRow="1" w:lastRow="0" w:firstColumn="1" w:lastColumn="0" w:noHBand="0" w:noVBand="1"/>
      </w:tblPr>
      <w:tblGrid>
        <w:gridCol w:w="2042"/>
        <w:gridCol w:w="900"/>
        <w:gridCol w:w="994"/>
        <w:gridCol w:w="1136"/>
        <w:gridCol w:w="848"/>
        <w:gridCol w:w="992"/>
        <w:gridCol w:w="2088"/>
      </w:tblGrid>
      <w:tr w:rsidR="006B1339" w:rsidRPr="002F3B34" w14:paraId="7C2EB741" w14:textId="77777777" w:rsidTr="000F3193">
        <w:trPr>
          <w:trHeight w:val="300"/>
        </w:trPr>
        <w:tc>
          <w:tcPr>
            <w:tcW w:w="1134" w:type="pct"/>
            <w:tcBorders>
              <w:top w:val="single" w:sz="4" w:space="0" w:color="auto"/>
              <w:bottom w:val="single" w:sz="4" w:space="0" w:color="auto"/>
            </w:tcBorders>
            <w:shd w:val="clear" w:color="auto" w:fill="auto"/>
            <w:noWrap/>
            <w:vAlign w:val="bottom"/>
            <w:hideMark/>
          </w:tcPr>
          <w:p w14:paraId="4B862EA9" w14:textId="77777777" w:rsidR="006B1339" w:rsidRPr="002F3B34" w:rsidRDefault="006B1339" w:rsidP="006B1339">
            <w:pPr>
              <w:rPr>
                <w:rFonts w:ascii="Times New Roman" w:eastAsia="Times New Roman" w:hAnsi="Times New Roman" w:cs="Times New Roman"/>
                <w:szCs w:val="24"/>
                <w:lang w:bidi="ar-SA"/>
              </w:rPr>
            </w:pPr>
          </w:p>
        </w:tc>
        <w:tc>
          <w:tcPr>
            <w:tcW w:w="1052" w:type="pct"/>
            <w:gridSpan w:val="2"/>
            <w:tcBorders>
              <w:top w:val="single" w:sz="4" w:space="0" w:color="auto"/>
              <w:bottom w:val="single" w:sz="4" w:space="0" w:color="auto"/>
            </w:tcBorders>
            <w:shd w:val="clear" w:color="auto" w:fill="auto"/>
            <w:noWrap/>
            <w:vAlign w:val="bottom"/>
            <w:hideMark/>
          </w:tcPr>
          <w:p w14:paraId="75B8F883"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Recession</w:t>
            </w:r>
          </w:p>
        </w:tc>
        <w:tc>
          <w:tcPr>
            <w:tcW w:w="631" w:type="pct"/>
            <w:tcBorders>
              <w:top w:val="single" w:sz="4" w:space="0" w:color="auto"/>
              <w:bottom w:val="single" w:sz="4" w:space="0" w:color="auto"/>
            </w:tcBorders>
            <w:shd w:val="clear" w:color="auto" w:fill="auto"/>
            <w:noWrap/>
            <w:vAlign w:val="bottom"/>
            <w:hideMark/>
          </w:tcPr>
          <w:p w14:paraId="5422A1BD" w14:textId="77777777" w:rsidR="006B1339" w:rsidRPr="002F3B34" w:rsidRDefault="006B1339" w:rsidP="006B1339">
            <w:pPr>
              <w:rPr>
                <w:rFonts w:ascii="Times New Roman" w:eastAsia="Times New Roman" w:hAnsi="Times New Roman" w:cs="Times New Roman"/>
                <w:szCs w:val="24"/>
                <w:lang w:bidi="ar-SA"/>
              </w:rPr>
            </w:pPr>
          </w:p>
        </w:tc>
        <w:tc>
          <w:tcPr>
            <w:tcW w:w="1022" w:type="pct"/>
            <w:gridSpan w:val="2"/>
            <w:tcBorders>
              <w:top w:val="single" w:sz="4" w:space="0" w:color="auto"/>
              <w:bottom w:val="single" w:sz="4" w:space="0" w:color="auto"/>
            </w:tcBorders>
            <w:shd w:val="clear" w:color="auto" w:fill="auto"/>
            <w:noWrap/>
            <w:vAlign w:val="bottom"/>
            <w:hideMark/>
          </w:tcPr>
          <w:p w14:paraId="4FA3BC15"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Austerity</w:t>
            </w:r>
          </w:p>
        </w:tc>
        <w:tc>
          <w:tcPr>
            <w:tcW w:w="1160" w:type="pct"/>
            <w:tcBorders>
              <w:top w:val="single" w:sz="4" w:space="0" w:color="auto"/>
              <w:bottom w:val="single" w:sz="4" w:space="0" w:color="auto"/>
            </w:tcBorders>
            <w:shd w:val="clear" w:color="auto" w:fill="auto"/>
            <w:noWrap/>
            <w:vAlign w:val="bottom"/>
            <w:hideMark/>
          </w:tcPr>
          <w:p w14:paraId="57734519" w14:textId="77777777" w:rsidR="006B1339" w:rsidRPr="002F3B34" w:rsidRDefault="006B1339" w:rsidP="006B1339">
            <w:pPr>
              <w:rPr>
                <w:rFonts w:ascii="Times New Roman" w:eastAsia="Times New Roman" w:hAnsi="Times New Roman" w:cs="Times New Roman"/>
                <w:szCs w:val="24"/>
                <w:lang w:bidi="ar-SA"/>
              </w:rPr>
            </w:pPr>
          </w:p>
        </w:tc>
      </w:tr>
      <w:tr w:rsidR="006B1339" w:rsidRPr="002F3B34" w14:paraId="7E6689DB" w14:textId="77777777" w:rsidTr="000F3193">
        <w:trPr>
          <w:trHeight w:val="300"/>
        </w:trPr>
        <w:tc>
          <w:tcPr>
            <w:tcW w:w="1134" w:type="pct"/>
            <w:tcBorders>
              <w:top w:val="single" w:sz="4" w:space="0" w:color="auto"/>
              <w:bottom w:val="single" w:sz="4" w:space="0" w:color="auto"/>
            </w:tcBorders>
            <w:shd w:val="clear" w:color="auto" w:fill="auto"/>
            <w:noWrap/>
            <w:vAlign w:val="bottom"/>
            <w:hideMark/>
          </w:tcPr>
          <w:p w14:paraId="27393D63" w14:textId="77777777" w:rsidR="006B1339" w:rsidRPr="002F3B34" w:rsidRDefault="006B1339"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C</w:t>
            </w:r>
            <w:r w:rsidR="006245D6" w:rsidRPr="002F3B34">
              <w:rPr>
                <w:rFonts w:ascii="Times New Roman" w:eastAsia="Times New Roman" w:hAnsi="Times New Roman" w:cs="Times New Roman"/>
                <w:szCs w:val="24"/>
                <w:lang w:bidi="ar-SA"/>
              </w:rPr>
              <w:t>ountry</w:t>
            </w:r>
          </w:p>
        </w:tc>
        <w:tc>
          <w:tcPr>
            <w:tcW w:w="500" w:type="pct"/>
            <w:tcBorders>
              <w:top w:val="single" w:sz="4" w:space="0" w:color="auto"/>
              <w:bottom w:val="single" w:sz="4" w:space="0" w:color="auto"/>
            </w:tcBorders>
            <w:shd w:val="clear" w:color="auto" w:fill="auto"/>
            <w:noWrap/>
            <w:vAlign w:val="bottom"/>
            <w:hideMark/>
          </w:tcPr>
          <w:p w14:paraId="59F4D3B5"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Peak</w:t>
            </w:r>
          </w:p>
        </w:tc>
        <w:tc>
          <w:tcPr>
            <w:tcW w:w="552" w:type="pct"/>
            <w:tcBorders>
              <w:top w:val="single" w:sz="4" w:space="0" w:color="auto"/>
              <w:bottom w:val="single" w:sz="4" w:space="0" w:color="auto"/>
            </w:tcBorders>
            <w:shd w:val="clear" w:color="auto" w:fill="auto"/>
            <w:noWrap/>
            <w:vAlign w:val="bottom"/>
            <w:hideMark/>
          </w:tcPr>
          <w:p w14:paraId="206AB14E"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Trough</w:t>
            </w:r>
          </w:p>
        </w:tc>
        <w:tc>
          <w:tcPr>
            <w:tcW w:w="631" w:type="pct"/>
            <w:tcBorders>
              <w:top w:val="single" w:sz="4" w:space="0" w:color="auto"/>
              <w:bottom w:val="single" w:sz="4" w:space="0" w:color="auto"/>
            </w:tcBorders>
            <w:shd w:val="clear" w:color="auto" w:fill="auto"/>
            <w:noWrap/>
            <w:vAlign w:val="bottom"/>
            <w:hideMark/>
          </w:tcPr>
          <w:p w14:paraId="3820BC0D"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Change in GDP</w:t>
            </w:r>
          </w:p>
        </w:tc>
        <w:tc>
          <w:tcPr>
            <w:tcW w:w="471" w:type="pct"/>
            <w:tcBorders>
              <w:top w:val="single" w:sz="4" w:space="0" w:color="auto"/>
              <w:bottom w:val="single" w:sz="4" w:space="0" w:color="auto"/>
            </w:tcBorders>
            <w:shd w:val="clear" w:color="auto" w:fill="auto"/>
            <w:noWrap/>
            <w:vAlign w:val="bottom"/>
            <w:hideMark/>
          </w:tcPr>
          <w:p w14:paraId="5ADB19D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Peak</w:t>
            </w:r>
          </w:p>
        </w:tc>
        <w:tc>
          <w:tcPr>
            <w:tcW w:w="551" w:type="pct"/>
            <w:tcBorders>
              <w:top w:val="single" w:sz="4" w:space="0" w:color="auto"/>
              <w:bottom w:val="single" w:sz="4" w:space="0" w:color="auto"/>
            </w:tcBorders>
            <w:shd w:val="clear" w:color="auto" w:fill="auto"/>
            <w:noWrap/>
            <w:vAlign w:val="bottom"/>
            <w:hideMark/>
          </w:tcPr>
          <w:p w14:paraId="227AFBCA"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Trough</w:t>
            </w:r>
          </w:p>
        </w:tc>
        <w:tc>
          <w:tcPr>
            <w:tcW w:w="1160" w:type="pct"/>
            <w:tcBorders>
              <w:top w:val="single" w:sz="4" w:space="0" w:color="auto"/>
              <w:bottom w:val="single" w:sz="4" w:space="0" w:color="auto"/>
            </w:tcBorders>
            <w:shd w:val="clear" w:color="auto" w:fill="auto"/>
            <w:noWrap/>
            <w:vAlign w:val="bottom"/>
            <w:hideMark/>
          </w:tcPr>
          <w:p w14:paraId="631A2E13"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Change in health spending</w:t>
            </w:r>
          </w:p>
        </w:tc>
      </w:tr>
      <w:tr w:rsidR="006B1339" w:rsidRPr="002F3B34" w14:paraId="5E87654B" w14:textId="77777777" w:rsidTr="000F3193">
        <w:trPr>
          <w:trHeight w:val="300"/>
        </w:trPr>
        <w:tc>
          <w:tcPr>
            <w:tcW w:w="1134" w:type="pct"/>
            <w:tcBorders>
              <w:top w:val="single" w:sz="4" w:space="0" w:color="auto"/>
            </w:tcBorders>
            <w:shd w:val="clear" w:color="auto" w:fill="auto"/>
            <w:noWrap/>
            <w:vAlign w:val="bottom"/>
            <w:hideMark/>
          </w:tcPr>
          <w:p w14:paraId="3EC39989"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Iceland</w:t>
            </w:r>
          </w:p>
        </w:tc>
        <w:tc>
          <w:tcPr>
            <w:tcW w:w="500" w:type="pct"/>
            <w:tcBorders>
              <w:top w:val="single" w:sz="4" w:space="0" w:color="auto"/>
            </w:tcBorders>
            <w:shd w:val="clear" w:color="auto" w:fill="auto"/>
            <w:noWrap/>
            <w:vAlign w:val="bottom"/>
            <w:hideMark/>
          </w:tcPr>
          <w:p w14:paraId="70E5E3B9"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tcBorders>
              <w:top w:val="single" w:sz="4" w:space="0" w:color="auto"/>
            </w:tcBorders>
            <w:shd w:val="clear" w:color="auto" w:fill="auto"/>
            <w:noWrap/>
            <w:vAlign w:val="bottom"/>
            <w:hideMark/>
          </w:tcPr>
          <w:p w14:paraId="3E5E30EF"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tcBorders>
              <w:top w:val="single" w:sz="4" w:space="0" w:color="auto"/>
            </w:tcBorders>
            <w:shd w:val="clear" w:color="auto" w:fill="auto"/>
            <w:vAlign w:val="bottom"/>
            <w:hideMark/>
          </w:tcPr>
          <w:p w14:paraId="3E881D10"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-7069.37</w:t>
            </w:r>
          </w:p>
        </w:tc>
        <w:tc>
          <w:tcPr>
            <w:tcW w:w="471" w:type="pct"/>
            <w:tcBorders>
              <w:top w:val="single" w:sz="4" w:space="0" w:color="auto"/>
            </w:tcBorders>
            <w:shd w:val="clear" w:color="auto" w:fill="auto"/>
            <w:noWrap/>
            <w:vAlign w:val="bottom"/>
            <w:hideMark/>
          </w:tcPr>
          <w:p w14:paraId="06CFB94C"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1" w:type="pct"/>
            <w:tcBorders>
              <w:top w:val="single" w:sz="4" w:space="0" w:color="auto"/>
            </w:tcBorders>
            <w:shd w:val="clear" w:color="auto" w:fill="auto"/>
            <w:noWrap/>
            <w:vAlign w:val="bottom"/>
            <w:hideMark/>
          </w:tcPr>
          <w:p w14:paraId="6A043AD9"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tcBorders>
              <w:top w:val="single" w:sz="4" w:space="0" w:color="auto"/>
            </w:tcBorders>
            <w:shd w:val="clear" w:color="auto" w:fill="auto"/>
            <w:vAlign w:val="bottom"/>
            <w:hideMark/>
          </w:tcPr>
          <w:p w14:paraId="3F529769"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-568.18</w:t>
            </w:r>
          </w:p>
        </w:tc>
      </w:tr>
      <w:tr w:rsidR="006B1339" w:rsidRPr="002F3B34" w14:paraId="0D203015" w14:textId="77777777" w:rsidTr="000F3193">
        <w:trPr>
          <w:trHeight w:val="300"/>
        </w:trPr>
        <w:tc>
          <w:tcPr>
            <w:tcW w:w="1134" w:type="pct"/>
            <w:shd w:val="clear" w:color="auto" w:fill="auto"/>
            <w:noWrap/>
            <w:vAlign w:val="bottom"/>
            <w:hideMark/>
          </w:tcPr>
          <w:p w14:paraId="0B45D966"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Greece</w:t>
            </w:r>
          </w:p>
        </w:tc>
        <w:tc>
          <w:tcPr>
            <w:tcW w:w="500" w:type="pct"/>
            <w:shd w:val="clear" w:color="auto" w:fill="auto"/>
            <w:noWrap/>
            <w:vAlign w:val="bottom"/>
            <w:hideMark/>
          </w:tcPr>
          <w:p w14:paraId="11B1C7CB"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6C4A70E3"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631" w:type="pct"/>
            <w:shd w:val="clear" w:color="auto" w:fill="auto"/>
            <w:vAlign w:val="bottom"/>
            <w:hideMark/>
          </w:tcPr>
          <w:p w14:paraId="7ED9B2DE"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-4144.82</w:t>
            </w:r>
          </w:p>
        </w:tc>
        <w:tc>
          <w:tcPr>
            <w:tcW w:w="471" w:type="pct"/>
            <w:shd w:val="clear" w:color="auto" w:fill="auto"/>
            <w:noWrap/>
            <w:vAlign w:val="bottom"/>
            <w:hideMark/>
          </w:tcPr>
          <w:p w14:paraId="00AFD8FA"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752398B4"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71A61FD5"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-487.46</w:t>
            </w:r>
          </w:p>
        </w:tc>
      </w:tr>
      <w:tr w:rsidR="006B1339" w:rsidRPr="002F3B34" w14:paraId="45B46916" w14:textId="77777777" w:rsidTr="000F3193">
        <w:trPr>
          <w:trHeight w:val="300"/>
        </w:trPr>
        <w:tc>
          <w:tcPr>
            <w:tcW w:w="1134" w:type="pct"/>
            <w:shd w:val="clear" w:color="auto" w:fill="auto"/>
            <w:noWrap/>
            <w:vAlign w:val="bottom"/>
            <w:hideMark/>
          </w:tcPr>
          <w:p w14:paraId="26E1594A"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Luxembourg</w:t>
            </w:r>
          </w:p>
        </w:tc>
        <w:tc>
          <w:tcPr>
            <w:tcW w:w="500" w:type="pct"/>
            <w:shd w:val="clear" w:color="auto" w:fill="auto"/>
            <w:noWrap/>
            <w:vAlign w:val="bottom"/>
            <w:hideMark/>
          </w:tcPr>
          <w:p w14:paraId="2E2B468C"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4D3E3A75"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631" w:type="pct"/>
            <w:shd w:val="clear" w:color="auto" w:fill="auto"/>
            <w:vAlign w:val="bottom"/>
            <w:hideMark/>
          </w:tcPr>
          <w:p w14:paraId="67556CEC"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-5741.70</w:t>
            </w:r>
          </w:p>
        </w:tc>
        <w:tc>
          <w:tcPr>
            <w:tcW w:w="471" w:type="pct"/>
            <w:shd w:val="clear" w:color="auto" w:fill="auto"/>
            <w:noWrap/>
            <w:vAlign w:val="bottom"/>
            <w:hideMark/>
          </w:tcPr>
          <w:p w14:paraId="53409271"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6F3EEACA"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5BC23D3E"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-377.77</w:t>
            </w:r>
          </w:p>
        </w:tc>
      </w:tr>
      <w:tr w:rsidR="006B1339" w:rsidRPr="002F3B34" w14:paraId="479B5550" w14:textId="77777777" w:rsidTr="000F3193">
        <w:trPr>
          <w:trHeight w:val="300"/>
        </w:trPr>
        <w:tc>
          <w:tcPr>
            <w:tcW w:w="1134" w:type="pct"/>
            <w:shd w:val="clear" w:color="auto" w:fill="auto"/>
            <w:noWrap/>
            <w:vAlign w:val="bottom"/>
            <w:hideMark/>
          </w:tcPr>
          <w:p w14:paraId="35304A9B"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Norway</w:t>
            </w:r>
          </w:p>
        </w:tc>
        <w:tc>
          <w:tcPr>
            <w:tcW w:w="500" w:type="pct"/>
            <w:shd w:val="clear" w:color="auto" w:fill="auto"/>
            <w:noWrap/>
            <w:vAlign w:val="bottom"/>
            <w:hideMark/>
          </w:tcPr>
          <w:p w14:paraId="18AAFF71"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2007</w:t>
            </w:r>
          </w:p>
        </w:tc>
        <w:tc>
          <w:tcPr>
            <w:tcW w:w="552" w:type="pct"/>
            <w:shd w:val="clear" w:color="auto" w:fill="auto"/>
            <w:noWrap/>
            <w:vAlign w:val="bottom"/>
            <w:hideMark/>
          </w:tcPr>
          <w:p w14:paraId="73165170"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631" w:type="pct"/>
            <w:shd w:val="clear" w:color="auto" w:fill="auto"/>
            <w:vAlign w:val="bottom"/>
            <w:hideMark/>
          </w:tcPr>
          <w:p w14:paraId="3A3F2927"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-3382.24</w:t>
            </w:r>
          </w:p>
        </w:tc>
        <w:tc>
          <w:tcPr>
            <w:tcW w:w="471" w:type="pct"/>
            <w:shd w:val="clear" w:color="auto" w:fill="auto"/>
            <w:noWrap/>
            <w:vAlign w:val="bottom"/>
            <w:hideMark/>
          </w:tcPr>
          <w:p w14:paraId="241A9390"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2A9BBF59"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3408907A"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-141.78</w:t>
            </w:r>
          </w:p>
        </w:tc>
      </w:tr>
      <w:tr w:rsidR="006B1339" w:rsidRPr="002F3B34" w14:paraId="294F4749" w14:textId="77777777" w:rsidTr="000F3193">
        <w:trPr>
          <w:trHeight w:val="300"/>
        </w:trPr>
        <w:tc>
          <w:tcPr>
            <w:tcW w:w="1134" w:type="pct"/>
            <w:shd w:val="clear" w:color="auto" w:fill="auto"/>
            <w:noWrap/>
            <w:vAlign w:val="bottom"/>
            <w:hideMark/>
          </w:tcPr>
          <w:p w14:paraId="2D24B25C"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UK</w:t>
            </w:r>
          </w:p>
        </w:tc>
        <w:tc>
          <w:tcPr>
            <w:tcW w:w="500" w:type="pct"/>
            <w:shd w:val="clear" w:color="auto" w:fill="auto"/>
            <w:noWrap/>
            <w:vAlign w:val="bottom"/>
            <w:hideMark/>
          </w:tcPr>
          <w:p w14:paraId="73DB3428"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2007</w:t>
            </w:r>
          </w:p>
        </w:tc>
        <w:tc>
          <w:tcPr>
            <w:tcW w:w="552" w:type="pct"/>
            <w:shd w:val="clear" w:color="auto" w:fill="auto"/>
            <w:noWrap/>
            <w:vAlign w:val="bottom"/>
            <w:hideMark/>
          </w:tcPr>
          <w:p w14:paraId="3B6CE056"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631" w:type="pct"/>
            <w:shd w:val="clear" w:color="auto" w:fill="auto"/>
            <w:vAlign w:val="bottom"/>
            <w:hideMark/>
          </w:tcPr>
          <w:p w14:paraId="5AE71C2E"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-2849.22</w:t>
            </w:r>
          </w:p>
        </w:tc>
        <w:tc>
          <w:tcPr>
            <w:tcW w:w="471" w:type="pct"/>
            <w:shd w:val="clear" w:color="auto" w:fill="auto"/>
            <w:noWrap/>
            <w:vAlign w:val="bottom"/>
            <w:hideMark/>
          </w:tcPr>
          <w:p w14:paraId="6F3101DA"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4620ECAD"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782472A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-133.77</w:t>
            </w:r>
          </w:p>
        </w:tc>
      </w:tr>
      <w:tr w:rsidR="006B1339" w:rsidRPr="002F3B34" w14:paraId="5D5DB6E0" w14:textId="77777777" w:rsidTr="000F3193">
        <w:trPr>
          <w:trHeight w:val="300"/>
        </w:trPr>
        <w:tc>
          <w:tcPr>
            <w:tcW w:w="1134" w:type="pct"/>
            <w:shd w:val="clear" w:color="auto" w:fill="auto"/>
            <w:noWrap/>
            <w:vAlign w:val="bottom"/>
            <w:hideMark/>
          </w:tcPr>
          <w:p w14:paraId="616E9475"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Spain</w:t>
            </w:r>
          </w:p>
        </w:tc>
        <w:tc>
          <w:tcPr>
            <w:tcW w:w="500" w:type="pct"/>
            <w:shd w:val="clear" w:color="auto" w:fill="auto"/>
            <w:noWrap/>
            <w:vAlign w:val="bottom"/>
            <w:hideMark/>
          </w:tcPr>
          <w:p w14:paraId="6A423DA5"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0A43C76D"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631" w:type="pct"/>
            <w:shd w:val="clear" w:color="auto" w:fill="auto"/>
            <w:vAlign w:val="bottom"/>
            <w:hideMark/>
          </w:tcPr>
          <w:p w14:paraId="654643F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-1183.15</w:t>
            </w:r>
          </w:p>
        </w:tc>
        <w:tc>
          <w:tcPr>
            <w:tcW w:w="471" w:type="pct"/>
            <w:shd w:val="clear" w:color="auto" w:fill="auto"/>
            <w:noWrap/>
            <w:vAlign w:val="bottom"/>
            <w:hideMark/>
          </w:tcPr>
          <w:p w14:paraId="53AA2A61"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4228A84D"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2CCD5C61"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-127.98</w:t>
            </w:r>
          </w:p>
        </w:tc>
      </w:tr>
      <w:tr w:rsidR="006B1339" w:rsidRPr="002F3B34" w14:paraId="0A4D751F" w14:textId="77777777" w:rsidTr="000F3193">
        <w:trPr>
          <w:trHeight w:val="300"/>
        </w:trPr>
        <w:tc>
          <w:tcPr>
            <w:tcW w:w="1134" w:type="pct"/>
            <w:shd w:val="clear" w:color="auto" w:fill="auto"/>
            <w:noWrap/>
            <w:vAlign w:val="bottom"/>
            <w:hideMark/>
          </w:tcPr>
          <w:p w14:paraId="6F3D8DB5"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Slovak Republic</w:t>
            </w:r>
          </w:p>
        </w:tc>
        <w:tc>
          <w:tcPr>
            <w:tcW w:w="500" w:type="pct"/>
            <w:shd w:val="clear" w:color="auto" w:fill="auto"/>
            <w:noWrap/>
            <w:vAlign w:val="bottom"/>
            <w:hideMark/>
          </w:tcPr>
          <w:p w14:paraId="27724CE5"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66FCB5A5"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07D16D9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-431.29</w:t>
            </w:r>
          </w:p>
        </w:tc>
        <w:tc>
          <w:tcPr>
            <w:tcW w:w="471" w:type="pct"/>
            <w:shd w:val="clear" w:color="auto" w:fill="auto"/>
            <w:noWrap/>
            <w:vAlign w:val="bottom"/>
            <w:hideMark/>
          </w:tcPr>
          <w:p w14:paraId="0865C386" w14:textId="77777777" w:rsidR="006B1339" w:rsidRPr="002F3B34" w:rsidRDefault="006B1339" w:rsidP="006B1339">
            <w:pPr>
              <w:jc w:val="right"/>
              <w:rPr>
                <w:rFonts w:ascii="Times New Roman" w:eastAsia="Times New Roman" w:hAnsi="Times New Roman" w:cs="Times New Roman"/>
                <w:szCs w:val="24"/>
                <w:lang w:bidi="ar-SA"/>
              </w:rPr>
            </w:pPr>
          </w:p>
        </w:tc>
        <w:tc>
          <w:tcPr>
            <w:tcW w:w="551" w:type="pct"/>
            <w:shd w:val="clear" w:color="auto" w:fill="auto"/>
            <w:noWrap/>
            <w:vAlign w:val="bottom"/>
            <w:hideMark/>
          </w:tcPr>
          <w:p w14:paraId="430AAFB7" w14:textId="77777777" w:rsidR="006B1339" w:rsidRPr="002F3B34" w:rsidRDefault="006B1339" w:rsidP="006B1339">
            <w:pPr>
              <w:jc w:val="right"/>
              <w:rPr>
                <w:rFonts w:ascii="Times New Roman" w:eastAsia="Times New Roman" w:hAnsi="Times New Roman" w:cs="Times New Roman"/>
                <w:szCs w:val="24"/>
                <w:lang w:bidi="ar-SA"/>
              </w:rPr>
            </w:pPr>
          </w:p>
        </w:tc>
        <w:tc>
          <w:tcPr>
            <w:tcW w:w="1160" w:type="pct"/>
            <w:shd w:val="clear" w:color="auto" w:fill="auto"/>
            <w:vAlign w:val="bottom"/>
            <w:hideMark/>
          </w:tcPr>
          <w:p w14:paraId="0C03D6A0"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-127.28</w:t>
            </w:r>
          </w:p>
        </w:tc>
      </w:tr>
      <w:tr w:rsidR="006B1339" w:rsidRPr="002F3B34" w14:paraId="60256099" w14:textId="77777777" w:rsidTr="000F3193">
        <w:trPr>
          <w:trHeight w:val="300"/>
        </w:trPr>
        <w:tc>
          <w:tcPr>
            <w:tcW w:w="1134" w:type="pct"/>
            <w:shd w:val="clear" w:color="auto" w:fill="auto"/>
            <w:noWrap/>
            <w:vAlign w:val="bottom"/>
            <w:hideMark/>
          </w:tcPr>
          <w:p w14:paraId="5892D431"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Ireland</w:t>
            </w:r>
          </w:p>
        </w:tc>
        <w:tc>
          <w:tcPr>
            <w:tcW w:w="500" w:type="pct"/>
            <w:shd w:val="clear" w:color="auto" w:fill="auto"/>
            <w:noWrap/>
            <w:vAlign w:val="bottom"/>
            <w:hideMark/>
          </w:tcPr>
          <w:p w14:paraId="13E342E8"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2007</w:t>
            </w:r>
          </w:p>
        </w:tc>
        <w:tc>
          <w:tcPr>
            <w:tcW w:w="552" w:type="pct"/>
            <w:shd w:val="clear" w:color="auto" w:fill="auto"/>
            <w:noWrap/>
            <w:vAlign w:val="bottom"/>
            <w:hideMark/>
          </w:tcPr>
          <w:p w14:paraId="108A6F5D"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29DEF54A"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-904.61</w:t>
            </w:r>
          </w:p>
        </w:tc>
        <w:tc>
          <w:tcPr>
            <w:tcW w:w="471" w:type="pct"/>
            <w:shd w:val="clear" w:color="auto" w:fill="auto"/>
            <w:noWrap/>
            <w:vAlign w:val="bottom"/>
            <w:hideMark/>
          </w:tcPr>
          <w:p w14:paraId="6974DBB1"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431CFDE7"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4A45504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-122.66</w:t>
            </w:r>
          </w:p>
        </w:tc>
      </w:tr>
      <w:tr w:rsidR="006B1339" w:rsidRPr="002F3B34" w14:paraId="4504E22E" w14:textId="77777777" w:rsidTr="000F3193">
        <w:trPr>
          <w:trHeight w:val="300"/>
        </w:trPr>
        <w:tc>
          <w:tcPr>
            <w:tcW w:w="1134" w:type="pct"/>
            <w:shd w:val="clear" w:color="auto" w:fill="auto"/>
            <w:noWrap/>
            <w:vAlign w:val="bottom"/>
            <w:hideMark/>
          </w:tcPr>
          <w:p w14:paraId="14F7BF40"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Austria</w:t>
            </w:r>
          </w:p>
        </w:tc>
        <w:tc>
          <w:tcPr>
            <w:tcW w:w="500" w:type="pct"/>
            <w:shd w:val="clear" w:color="auto" w:fill="auto"/>
            <w:noWrap/>
            <w:vAlign w:val="bottom"/>
            <w:hideMark/>
          </w:tcPr>
          <w:p w14:paraId="7F70C2C7"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23ED45E7"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609F8143"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-1185.32</w:t>
            </w:r>
          </w:p>
        </w:tc>
        <w:tc>
          <w:tcPr>
            <w:tcW w:w="471" w:type="pct"/>
            <w:shd w:val="clear" w:color="auto" w:fill="auto"/>
            <w:noWrap/>
            <w:vAlign w:val="bottom"/>
            <w:hideMark/>
          </w:tcPr>
          <w:p w14:paraId="622ED914"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551" w:type="pct"/>
            <w:shd w:val="clear" w:color="auto" w:fill="auto"/>
            <w:noWrap/>
            <w:vAlign w:val="bottom"/>
            <w:hideMark/>
          </w:tcPr>
          <w:p w14:paraId="3A4ACA21"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6239231C"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-90.12</w:t>
            </w:r>
          </w:p>
        </w:tc>
      </w:tr>
      <w:tr w:rsidR="006B1339" w:rsidRPr="002F3B34" w14:paraId="1A945D36" w14:textId="77777777" w:rsidTr="000F3193">
        <w:trPr>
          <w:trHeight w:val="300"/>
        </w:trPr>
        <w:tc>
          <w:tcPr>
            <w:tcW w:w="1134" w:type="pct"/>
            <w:shd w:val="clear" w:color="auto" w:fill="auto"/>
            <w:noWrap/>
            <w:vAlign w:val="bottom"/>
            <w:hideMark/>
          </w:tcPr>
          <w:p w14:paraId="6765E5F6"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Slovenia</w:t>
            </w:r>
          </w:p>
        </w:tc>
        <w:tc>
          <w:tcPr>
            <w:tcW w:w="500" w:type="pct"/>
            <w:shd w:val="clear" w:color="auto" w:fill="auto"/>
            <w:noWrap/>
            <w:vAlign w:val="bottom"/>
            <w:hideMark/>
          </w:tcPr>
          <w:p w14:paraId="4B33F3BF"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231AB703"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631" w:type="pct"/>
            <w:shd w:val="clear" w:color="auto" w:fill="auto"/>
            <w:vAlign w:val="bottom"/>
            <w:hideMark/>
          </w:tcPr>
          <w:p w14:paraId="52EBB2A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-1854.77</w:t>
            </w:r>
          </w:p>
        </w:tc>
        <w:tc>
          <w:tcPr>
            <w:tcW w:w="471" w:type="pct"/>
            <w:shd w:val="clear" w:color="auto" w:fill="auto"/>
            <w:noWrap/>
            <w:vAlign w:val="bottom"/>
            <w:hideMark/>
          </w:tcPr>
          <w:p w14:paraId="37316BDD" w14:textId="77777777" w:rsidR="006B1339" w:rsidRPr="002F3B34" w:rsidRDefault="006B1339" w:rsidP="006B1339">
            <w:pPr>
              <w:jc w:val="right"/>
              <w:rPr>
                <w:rFonts w:ascii="Times New Roman" w:eastAsia="Times New Roman" w:hAnsi="Times New Roman" w:cs="Times New Roman"/>
                <w:szCs w:val="24"/>
                <w:lang w:bidi="ar-SA"/>
              </w:rPr>
            </w:pPr>
          </w:p>
        </w:tc>
        <w:tc>
          <w:tcPr>
            <w:tcW w:w="551" w:type="pct"/>
            <w:shd w:val="clear" w:color="auto" w:fill="auto"/>
            <w:noWrap/>
            <w:vAlign w:val="bottom"/>
            <w:hideMark/>
          </w:tcPr>
          <w:p w14:paraId="7E03C3CA" w14:textId="77777777" w:rsidR="006B1339" w:rsidRPr="002F3B34" w:rsidRDefault="006B1339" w:rsidP="006B1339">
            <w:pPr>
              <w:jc w:val="right"/>
              <w:rPr>
                <w:rFonts w:ascii="Times New Roman" w:eastAsia="Times New Roman" w:hAnsi="Times New Roman" w:cs="Times New Roman"/>
                <w:szCs w:val="24"/>
                <w:lang w:bidi="ar-SA"/>
              </w:rPr>
            </w:pPr>
          </w:p>
        </w:tc>
        <w:tc>
          <w:tcPr>
            <w:tcW w:w="1160" w:type="pct"/>
            <w:shd w:val="clear" w:color="auto" w:fill="auto"/>
            <w:vAlign w:val="bottom"/>
            <w:hideMark/>
          </w:tcPr>
          <w:p w14:paraId="717B19A9"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-72.64</w:t>
            </w:r>
          </w:p>
        </w:tc>
      </w:tr>
      <w:tr w:rsidR="006B1339" w:rsidRPr="002F3B34" w14:paraId="15BFA00B" w14:textId="77777777" w:rsidTr="000F3193">
        <w:trPr>
          <w:trHeight w:val="300"/>
        </w:trPr>
        <w:tc>
          <w:tcPr>
            <w:tcW w:w="1134" w:type="pct"/>
            <w:shd w:val="clear" w:color="auto" w:fill="auto"/>
            <w:noWrap/>
            <w:vAlign w:val="bottom"/>
            <w:hideMark/>
          </w:tcPr>
          <w:p w14:paraId="48C89AFC"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Italy</w:t>
            </w:r>
          </w:p>
        </w:tc>
        <w:tc>
          <w:tcPr>
            <w:tcW w:w="500" w:type="pct"/>
            <w:shd w:val="clear" w:color="auto" w:fill="auto"/>
            <w:noWrap/>
            <w:vAlign w:val="bottom"/>
            <w:hideMark/>
          </w:tcPr>
          <w:p w14:paraId="52EEA27E"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27DC99A9"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631" w:type="pct"/>
            <w:shd w:val="clear" w:color="auto" w:fill="auto"/>
            <w:vAlign w:val="bottom"/>
            <w:hideMark/>
          </w:tcPr>
          <w:p w14:paraId="54FFB2B9"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-1566.74</w:t>
            </w:r>
          </w:p>
        </w:tc>
        <w:tc>
          <w:tcPr>
            <w:tcW w:w="471" w:type="pct"/>
            <w:shd w:val="clear" w:color="auto" w:fill="auto"/>
            <w:noWrap/>
            <w:vAlign w:val="bottom"/>
            <w:hideMark/>
          </w:tcPr>
          <w:p w14:paraId="7078443D"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50DEBA9E"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0BAA0CF4"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-52.52</w:t>
            </w:r>
          </w:p>
        </w:tc>
      </w:tr>
      <w:tr w:rsidR="006B1339" w:rsidRPr="002F3B34" w14:paraId="7754D084" w14:textId="77777777" w:rsidTr="000F3193">
        <w:trPr>
          <w:trHeight w:val="300"/>
        </w:trPr>
        <w:tc>
          <w:tcPr>
            <w:tcW w:w="1134" w:type="pct"/>
            <w:shd w:val="clear" w:color="auto" w:fill="auto"/>
            <w:noWrap/>
            <w:vAlign w:val="bottom"/>
            <w:hideMark/>
          </w:tcPr>
          <w:p w14:paraId="736B90B2"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Sweden</w:t>
            </w:r>
          </w:p>
        </w:tc>
        <w:tc>
          <w:tcPr>
            <w:tcW w:w="500" w:type="pct"/>
            <w:shd w:val="clear" w:color="auto" w:fill="auto"/>
            <w:noWrap/>
            <w:vAlign w:val="bottom"/>
            <w:hideMark/>
          </w:tcPr>
          <w:p w14:paraId="009B008B"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55707BFB"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575141D2"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-2984.40</w:t>
            </w:r>
          </w:p>
        </w:tc>
        <w:tc>
          <w:tcPr>
            <w:tcW w:w="471" w:type="pct"/>
            <w:shd w:val="clear" w:color="auto" w:fill="auto"/>
            <w:noWrap/>
            <w:vAlign w:val="bottom"/>
            <w:hideMark/>
          </w:tcPr>
          <w:p w14:paraId="63570155"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1" w:type="pct"/>
            <w:shd w:val="clear" w:color="auto" w:fill="auto"/>
            <w:noWrap/>
            <w:vAlign w:val="bottom"/>
            <w:hideMark/>
          </w:tcPr>
          <w:p w14:paraId="1BDB173D"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1160" w:type="pct"/>
            <w:shd w:val="clear" w:color="auto" w:fill="auto"/>
            <w:vAlign w:val="bottom"/>
            <w:hideMark/>
          </w:tcPr>
          <w:p w14:paraId="3F172E37"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-38.89</w:t>
            </w:r>
          </w:p>
        </w:tc>
      </w:tr>
      <w:tr w:rsidR="006B1339" w:rsidRPr="002F3B34" w14:paraId="67453686" w14:textId="77777777" w:rsidTr="000F3193">
        <w:trPr>
          <w:trHeight w:val="300"/>
        </w:trPr>
        <w:tc>
          <w:tcPr>
            <w:tcW w:w="1134" w:type="pct"/>
            <w:shd w:val="clear" w:color="auto" w:fill="auto"/>
            <w:noWrap/>
            <w:vAlign w:val="bottom"/>
            <w:hideMark/>
          </w:tcPr>
          <w:p w14:paraId="0BD03E4F"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Denmark</w:t>
            </w:r>
          </w:p>
        </w:tc>
        <w:tc>
          <w:tcPr>
            <w:tcW w:w="500" w:type="pct"/>
            <w:shd w:val="clear" w:color="auto" w:fill="auto"/>
            <w:noWrap/>
            <w:vAlign w:val="bottom"/>
            <w:hideMark/>
          </w:tcPr>
          <w:p w14:paraId="4EF314F8"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5E7857BE"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49CAF235"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-1431.32</w:t>
            </w:r>
          </w:p>
        </w:tc>
        <w:tc>
          <w:tcPr>
            <w:tcW w:w="471" w:type="pct"/>
            <w:shd w:val="clear" w:color="auto" w:fill="auto"/>
            <w:noWrap/>
            <w:vAlign w:val="bottom"/>
            <w:hideMark/>
          </w:tcPr>
          <w:p w14:paraId="09BAC176"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551" w:type="pct"/>
            <w:shd w:val="clear" w:color="auto" w:fill="auto"/>
            <w:noWrap/>
            <w:vAlign w:val="bottom"/>
            <w:hideMark/>
          </w:tcPr>
          <w:p w14:paraId="5C9C760D"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7969B4AC"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-24.70</w:t>
            </w:r>
          </w:p>
        </w:tc>
      </w:tr>
      <w:tr w:rsidR="006B1339" w:rsidRPr="002F3B34" w14:paraId="38249E18" w14:textId="77777777" w:rsidTr="000F3193">
        <w:trPr>
          <w:trHeight w:val="300"/>
        </w:trPr>
        <w:tc>
          <w:tcPr>
            <w:tcW w:w="1134" w:type="pct"/>
            <w:shd w:val="clear" w:color="auto" w:fill="auto"/>
            <w:noWrap/>
            <w:vAlign w:val="bottom"/>
            <w:hideMark/>
          </w:tcPr>
          <w:p w14:paraId="65499F40"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Finland</w:t>
            </w:r>
          </w:p>
        </w:tc>
        <w:tc>
          <w:tcPr>
            <w:tcW w:w="500" w:type="pct"/>
            <w:shd w:val="clear" w:color="auto" w:fill="auto"/>
            <w:noWrap/>
            <w:vAlign w:val="bottom"/>
            <w:hideMark/>
          </w:tcPr>
          <w:p w14:paraId="546F3BA8"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4A507AF7"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0C8A34E5"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-2629.09</w:t>
            </w:r>
          </w:p>
        </w:tc>
        <w:tc>
          <w:tcPr>
            <w:tcW w:w="471" w:type="pct"/>
            <w:shd w:val="clear" w:color="auto" w:fill="auto"/>
            <w:noWrap/>
            <w:vAlign w:val="bottom"/>
            <w:hideMark/>
          </w:tcPr>
          <w:p w14:paraId="2D1BDC88"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551" w:type="pct"/>
            <w:shd w:val="clear" w:color="auto" w:fill="auto"/>
            <w:noWrap/>
            <w:vAlign w:val="bottom"/>
            <w:hideMark/>
          </w:tcPr>
          <w:p w14:paraId="20E80EBF"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018A77DA"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-20.47</w:t>
            </w:r>
          </w:p>
        </w:tc>
      </w:tr>
      <w:tr w:rsidR="006B1339" w:rsidRPr="002F3B34" w14:paraId="54C059F2" w14:textId="77777777" w:rsidTr="000F3193">
        <w:trPr>
          <w:trHeight w:val="300"/>
        </w:trPr>
        <w:tc>
          <w:tcPr>
            <w:tcW w:w="1134" w:type="pct"/>
            <w:shd w:val="clear" w:color="auto" w:fill="auto"/>
            <w:noWrap/>
            <w:vAlign w:val="bottom"/>
            <w:hideMark/>
          </w:tcPr>
          <w:p w14:paraId="6FD1C586"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Poland</w:t>
            </w:r>
          </w:p>
        </w:tc>
        <w:tc>
          <w:tcPr>
            <w:tcW w:w="500" w:type="pct"/>
            <w:shd w:val="clear" w:color="auto" w:fill="auto"/>
            <w:noWrap/>
            <w:vAlign w:val="bottom"/>
            <w:hideMark/>
          </w:tcPr>
          <w:p w14:paraId="5D93A3EF"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0404E437"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4AB3C408"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104.39</w:t>
            </w:r>
          </w:p>
        </w:tc>
        <w:tc>
          <w:tcPr>
            <w:tcW w:w="471" w:type="pct"/>
            <w:shd w:val="clear" w:color="auto" w:fill="auto"/>
            <w:noWrap/>
            <w:vAlign w:val="bottom"/>
            <w:hideMark/>
          </w:tcPr>
          <w:p w14:paraId="6D744DA1"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551" w:type="pct"/>
            <w:shd w:val="clear" w:color="auto" w:fill="auto"/>
            <w:noWrap/>
            <w:vAlign w:val="bottom"/>
            <w:hideMark/>
          </w:tcPr>
          <w:p w14:paraId="21D31AD1"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3AB88B2F"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-13.54</w:t>
            </w:r>
          </w:p>
        </w:tc>
      </w:tr>
      <w:tr w:rsidR="006B1339" w:rsidRPr="002F3B34" w14:paraId="796DA779" w14:textId="77777777" w:rsidTr="000F3193">
        <w:trPr>
          <w:trHeight w:val="300"/>
        </w:trPr>
        <w:tc>
          <w:tcPr>
            <w:tcW w:w="1134" w:type="pct"/>
            <w:shd w:val="clear" w:color="auto" w:fill="auto"/>
            <w:noWrap/>
            <w:vAlign w:val="bottom"/>
            <w:hideMark/>
          </w:tcPr>
          <w:p w14:paraId="72478AE1"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Romania</w:t>
            </w:r>
          </w:p>
        </w:tc>
        <w:tc>
          <w:tcPr>
            <w:tcW w:w="500" w:type="pct"/>
            <w:shd w:val="clear" w:color="auto" w:fill="auto"/>
            <w:noWrap/>
            <w:vAlign w:val="bottom"/>
            <w:hideMark/>
          </w:tcPr>
          <w:p w14:paraId="3DA7BE25"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67365433"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631" w:type="pct"/>
            <w:shd w:val="clear" w:color="auto" w:fill="auto"/>
            <w:vAlign w:val="bottom"/>
            <w:hideMark/>
          </w:tcPr>
          <w:p w14:paraId="2A4922A9"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-436.38</w:t>
            </w:r>
          </w:p>
        </w:tc>
        <w:tc>
          <w:tcPr>
            <w:tcW w:w="471" w:type="pct"/>
            <w:shd w:val="clear" w:color="auto" w:fill="auto"/>
            <w:noWrap/>
            <w:vAlign w:val="bottom"/>
            <w:hideMark/>
          </w:tcPr>
          <w:p w14:paraId="52C38A14"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1" w:type="pct"/>
            <w:shd w:val="clear" w:color="auto" w:fill="auto"/>
            <w:noWrap/>
            <w:vAlign w:val="bottom"/>
            <w:hideMark/>
          </w:tcPr>
          <w:p w14:paraId="3295158E"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1C68BED5"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-12.98</w:t>
            </w:r>
          </w:p>
        </w:tc>
      </w:tr>
      <w:tr w:rsidR="006B1339" w:rsidRPr="002F3B34" w14:paraId="4656CFB6" w14:textId="77777777" w:rsidTr="000F3193">
        <w:trPr>
          <w:trHeight w:val="300"/>
        </w:trPr>
        <w:tc>
          <w:tcPr>
            <w:tcW w:w="1134" w:type="pct"/>
            <w:shd w:val="clear" w:color="auto" w:fill="auto"/>
            <w:noWrap/>
            <w:vAlign w:val="bottom"/>
            <w:hideMark/>
          </w:tcPr>
          <w:p w14:paraId="7EBED2B3"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Estonia</w:t>
            </w:r>
          </w:p>
        </w:tc>
        <w:tc>
          <w:tcPr>
            <w:tcW w:w="500" w:type="pct"/>
            <w:shd w:val="clear" w:color="auto" w:fill="auto"/>
            <w:noWrap/>
            <w:vAlign w:val="bottom"/>
            <w:hideMark/>
          </w:tcPr>
          <w:p w14:paraId="79A62611"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2007</w:t>
            </w:r>
          </w:p>
        </w:tc>
        <w:tc>
          <w:tcPr>
            <w:tcW w:w="552" w:type="pct"/>
            <w:shd w:val="clear" w:color="auto" w:fill="auto"/>
            <w:noWrap/>
            <w:vAlign w:val="bottom"/>
            <w:hideMark/>
          </w:tcPr>
          <w:p w14:paraId="760F62EB"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4752BE3E"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-1273.18</w:t>
            </w:r>
          </w:p>
        </w:tc>
        <w:tc>
          <w:tcPr>
            <w:tcW w:w="471" w:type="pct"/>
            <w:shd w:val="clear" w:color="auto" w:fill="auto"/>
            <w:noWrap/>
            <w:vAlign w:val="bottom"/>
            <w:hideMark/>
          </w:tcPr>
          <w:p w14:paraId="4C592784"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134DC860"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2A0CC10D"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-3.76</w:t>
            </w:r>
          </w:p>
        </w:tc>
      </w:tr>
      <w:tr w:rsidR="006B1339" w:rsidRPr="002F3B34" w14:paraId="543C1824" w14:textId="77777777" w:rsidTr="000F3193">
        <w:trPr>
          <w:trHeight w:val="300"/>
        </w:trPr>
        <w:tc>
          <w:tcPr>
            <w:tcW w:w="1134" w:type="pct"/>
            <w:shd w:val="clear" w:color="auto" w:fill="auto"/>
            <w:noWrap/>
            <w:vAlign w:val="bottom"/>
            <w:hideMark/>
          </w:tcPr>
          <w:p w14:paraId="0B6B579B"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Portugal</w:t>
            </w:r>
          </w:p>
        </w:tc>
        <w:tc>
          <w:tcPr>
            <w:tcW w:w="500" w:type="pct"/>
            <w:shd w:val="clear" w:color="auto" w:fill="auto"/>
            <w:noWrap/>
            <w:vAlign w:val="bottom"/>
            <w:hideMark/>
          </w:tcPr>
          <w:p w14:paraId="300C8AA9"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6C303575"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107FAEF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-89.46</w:t>
            </w:r>
          </w:p>
        </w:tc>
        <w:tc>
          <w:tcPr>
            <w:tcW w:w="471" w:type="pct"/>
            <w:shd w:val="clear" w:color="auto" w:fill="auto"/>
            <w:noWrap/>
            <w:vAlign w:val="bottom"/>
            <w:hideMark/>
          </w:tcPr>
          <w:p w14:paraId="0D67C4C0"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551" w:type="pct"/>
            <w:shd w:val="clear" w:color="auto" w:fill="auto"/>
            <w:noWrap/>
            <w:vAlign w:val="bottom"/>
            <w:hideMark/>
          </w:tcPr>
          <w:p w14:paraId="60F3A1C3"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7D918F87"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-2.16</w:t>
            </w:r>
          </w:p>
        </w:tc>
      </w:tr>
      <w:tr w:rsidR="006B1339" w:rsidRPr="002F3B34" w14:paraId="50C333AF" w14:textId="77777777" w:rsidTr="000F3193">
        <w:trPr>
          <w:trHeight w:val="300"/>
        </w:trPr>
        <w:tc>
          <w:tcPr>
            <w:tcW w:w="1134" w:type="pct"/>
            <w:shd w:val="clear" w:color="auto" w:fill="auto"/>
            <w:noWrap/>
            <w:vAlign w:val="bottom"/>
            <w:hideMark/>
          </w:tcPr>
          <w:p w14:paraId="2076FEB6"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Belgium</w:t>
            </w:r>
          </w:p>
        </w:tc>
        <w:tc>
          <w:tcPr>
            <w:tcW w:w="500" w:type="pct"/>
            <w:shd w:val="clear" w:color="auto" w:fill="auto"/>
            <w:noWrap/>
            <w:vAlign w:val="bottom"/>
            <w:hideMark/>
          </w:tcPr>
          <w:p w14:paraId="10165999"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4477EF04"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48193B47"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-768.14</w:t>
            </w:r>
          </w:p>
        </w:tc>
        <w:tc>
          <w:tcPr>
            <w:tcW w:w="471" w:type="pct"/>
            <w:shd w:val="clear" w:color="auto" w:fill="auto"/>
            <w:noWrap/>
            <w:vAlign w:val="bottom"/>
            <w:hideMark/>
          </w:tcPr>
          <w:p w14:paraId="0B03EFEF"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31184ED6"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1160" w:type="pct"/>
            <w:shd w:val="clear" w:color="auto" w:fill="auto"/>
            <w:vAlign w:val="bottom"/>
            <w:hideMark/>
          </w:tcPr>
          <w:p w14:paraId="0C952543"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4.99</w:t>
            </w:r>
          </w:p>
        </w:tc>
      </w:tr>
      <w:tr w:rsidR="006B1339" w:rsidRPr="002F3B34" w14:paraId="3E576C8A" w14:textId="77777777" w:rsidTr="000F3193">
        <w:trPr>
          <w:trHeight w:val="300"/>
        </w:trPr>
        <w:tc>
          <w:tcPr>
            <w:tcW w:w="1134" w:type="pct"/>
            <w:shd w:val="clear" w:color="auto" w:fill="auto"/>
            <w:noWrap/>
            <w:vAlign w:val="bottom"/>
            <w:hideMark/>
          </w:tcPr>
          <w:p w14:paraId="6BA2B130"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Lithuania</w:t>
            </w:r>
          </w:p>
        </w:tc>
        <w:tc>
          <w:tcPr>
            <w:tcW w:w="500" w:type="pct"/>
            <w:shd w:val="clear" w:color="auto" w:fill="auto"/>
            <w:noWrap/>
            <w:vAlign w:val="bottom"/>
            <w:hideMark/>
          </w:tcPr>
          <w:p w14:paraId="5B747EDD"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2007</w:t>
            </w:r>
          </w:p>
        </w:tc>
        <w:tc>
          <w:tcPr>
            <w:tcW w:w="552" w:type="pct"/>
            <w:shd w:val="clear" w:color="auto" w:fill="auto"/>
            <w:noWrap/>
            <w:vAlign w:val="bottom"/>
            <w:hideMark/>
          </w:tcPr>
          <w:p w14:paraId="1F33CB04"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21000D0E"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-2287.54</w:t>
            </w:r>
          </w:p>
        </w:tc>
        <w:tc>
          <w:tcPr>
            <w:tcW w:w="471" w:type="pct"/>
            <w:shd w:val="clear" w:color="auto" w:fill="auto"/>
            <w:noWrap/>
            <w:vAlign w:val="bottom"/>
            <w:hideMark/>
          </w:tcPr>
          <w:p w14:paraId="1A019932"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551" w:type="pct"/>
            <w:shd w:val="clear" w:color="auto" w:fill="auto"/>
            <w:noWrap/>
            <w:vAlign w:val="bottom"/>
            <w:hideMark/>
          </w:tcPr>
          <w:p w14:paraId="4A5ED51A"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33221A4B"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9.62</w:t>
            </w:r>
          </w:p>
        </w:tc>
      </w:tr>
      <w:tr w:rsidR="006B1339" w:rsidRPr="002F3B34" w14:paraId="15C761A9" w14:textId="77777777" w:rsidTr="000F3193">
        <w:trPr>
          <w:trHeight w:val="300"/>
        </w:trPr>
        <w:tc>
          <w:tcPr>
            <w:tcW w:w="1134" w:type="pct"/>
            <w:shd w:val="clear" w:color="auto" w:fill="auto"/>
            <w:noWrap/>
            <w:vAlign w:val="bottom"/>
            <w:hideMark/>
          </w:tcPr>
          <w:p w14:paraId="3AEBB3F0"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Hungary</w:t>
            </w:r>
          </w:p>
        </w:tc>
        <w:tc>
          <w:tcPr>
            <w:tcW w:w="500" w:type="pct"/>
            <w:shd w:val="clear" w:color="auto" w:fill="auto"/>
            <w:noWrap/>
            <w:vAlign w:val="bottom"/>
            <w:hideMark/>
          </w:tcPr>
          <w:p w14:paraId="7F62D4CD"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0D8ABBC7"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631" w:type="pct"/>
            <w:shd w:val="clear" w:color="auto" w:fill="auto"/>
            <w:vAlign w:val="bottom"/>
            <w:hideMark/>
          </w:tcPr>
          <w:p w14:paraId="1E528C2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-633.56</w:t>
            </w:r>
          </w:p>
        </w:tc>
        <w:tc>
          <w:tcPr>
            <w:tcW w:w="471" w:type="pct"/>
            <w:shd w:val="clear" w:color="auto" w:fill="auto"/>
            <w:noWrap/>
            <w:vAlign w:val="bottom"/>
            <w:hideMark/>
          </w:tcPr>
          <w:p w14:paraId="5FD752E3"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2007</w:t>
            </w:r>
          </w:p>
        </w:tc>
        <w:tc>
          <w:tcPr>
            <w:tcW w:w="551" w:type="pct"/>
            <w:shd w:val="clear" w:color="auto" w:fill="auto"/>
            <w:noWrap/>
            <w:vAlign w:val="bottom"/>
            <w:hideMark/>
          </w:tcPr>
          <w:p w14:paraId="6293BA6F"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1160" w:type="pct"/>
            <w:shd w:val="clear" w:color="auto" w:fill="auto"/>
            <w:vAlign w:val="bottom"/>
            <w:hideMark/>
          </w:tcPr>
          <w:p w14:paraId="58642AB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10.43</w:t>
            </w:r>
          </w:p>
        </w:tc>
      </w:tr>
      <w:tr w:rsidR="006B1339" w:rsidRPr="002F3B34" w14:paraId="32CF8051" w14:textId="77777777" w:rsidTr="000F3193">
        <w:trPr>
          <w:trHeight w:val="300"/>
        </w:trPr>
        <w:tc>
          <w:tcPr>
            <w:tcW w:w="1134" w:type="pct"/>
            <w:shd w:val="clear" w:color="auto" w:fill="auto"/>
            <w:noWrap/>
            <w:vAlign w:val="bottom"/>
            <w:hideMark/>
          </w:tcPr>
          <w:p w14:paraId="1CFA4632"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Latvia</w:t>
            </w:r>
          </w:p>
        </w:tc>
        <w:tc>
          <w:tcPr>
            <w:tcW w:w="500" w:type="pct"/>
            <w:shd w:val="clear" w:color="auto" w:fill="auto"/>
            <w:noWrap/>
            <w:vAlign w:val="bottom"/>
            <w:hideMark/>
          </w:tcPr>
          <w:p w14:paraId="4863AFAD"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2007</w:t>
            </w:r>
          </w:p>
        </w:tc>
        <w:tc>
          <w:tcPr>
            <w:tcW w:w="552" w:type="pct"/>
            <w:shd w:val="clear" w:color="auto" w:fill="auto"/>
            <w:noWrap/>
            <w:vAlign w:val="bottom"/>
            <w:hideMark/>
          </w:tcPr>
          <w:p w14:paraId="33574C93"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37217D3E"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-1795.51</w:t>
            </w:r>
          </w:p>
        </w:tc>
        <w:tc>
          <w:tcPr>
            <w:tcW w:w="471" w:type="pct"/>
            <w:shd w:val="clear" w:color="auto" w:fill="auto"/>
            <w:noWrap/>
            <w:vAlign w:val="bottom"/>
            <w:hideMark/>
          </w:tcPr>
          <w:p w14:paraId="1ACE8533"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551" w:type="pct"/>
            <w:shd w:val="clear" w:color="auto" w:fill="auto"/>
            <w:noWrap/>
            <w:vAlign w:val="bottom"/>
            <w:hideMark/>
          </w:tcPr>
          <w:p w14:paraId="7FD8A88D"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35C71DD0"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10.71</w:t>
            </w:r>
          </w:p>
        </w:tc>
      </w:tr>
      <w:tr w:rsidR="006B1339" w:rsidRPr="002F3B34" w14:paraId="19507936" w14:textId="77777777" w:rsidTr="000F3193">
        <w:trPr>
          <w:trHeight w:val="300"/>
        </w:trPr>
        <w:tc>
          <w:tcPr>
            <w:tcW w:w="1134" w:type="pct"/>
            <w:shd w:val="clear" w:color="auto" w:fill="auto"/>
            <w:noWrap/>
            <w:vAlign w:val="bottom"/>
            <w:hideMark/>
          </w:tcPr>
          <w:p w14:paraId="5D7A6F67"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Cyprus</w:t>
            </w:r>
          </w:p>
        </w:tc>
        <w:tc>
          <w:tcPr>
            <w:tcW w:w="500" w:type="pct"/>
            <w:shd w:val="clear" w:color="auto" w:fill="auto"/>
            <w:noWrap/>
            <w:vAlign w:val="bottom"/>
            <w:hideMark/>
          </w:tcPr>
          <w:p w14:paraId="3D10A34D"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4255957E"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631" w:type="pct"/>
            <w:shd w:val="clear" w:color="auto" w:fill="auto"/>
            <w:vAlign w:val="bottom"/>
            <w:hideMark/>
          </w:tcPr>
          <w:p w14:paraId="6854D86A"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-454.41</w:t>
            </w:r>
          </w:p>
        </w:tc>
        <w:tc>
          <w:tcPr>
            <w:tcW w:w="471" w:type="pct"/>
            <w:shd w:val="clear" w:color="auto" w:fill="auto"/>
            <w:noWrap/>
            <w:vAlign w:val="bottom"/>
            <w:hideMark/>
          </w:tcPr>
          <w:p w14:paraId="19FF4BF4"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72118343"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24E5A750"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11.79</w:t>
            </w:r>
          </w:p>
        </w:tc>
      </w:tr>
      <w:tr w:rsidR="006B1339" w:rsidRPr="002F3B34" w14:paraId="5F7E3E27" w14:textId="77777777" w:rsidTr="000F3193">
        <w:trPr>
          <w:trHeight w:val="300"/>
        </w:trPr>
        <w:tc>
          <w:tcPr>
            <w:tcW w:w="1134" w:type="pct"/>
            <w:shd w:val="clear" w:color="auto" w:fill="auto"/>
            <w:noWrap/>
            <w:vAlign w:val="bottom"/>
            <w:hideMark/>
          </w:tcPr>
          <w:p w14:paraId="3F46DB98"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Malta</w:t>
            </w:r>
          </w:p>
        </w:tc>
        <w:tc>
          <w:tcPr>
            <w:tcW w:w="500" w:type="pct"/>
            <w:shd w:val="clear" w:color="auto" w:fill="auto"/>
            <w:noWrap/>
            <w:vAlign w:val="bottom"/>
            <w:hideMark/>
          </w:tcPr>
          <w:p w14:paraId="1C631AEE"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210CE598"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06D0B67D"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-146.40</w:t>
            </w:r>
          </w:p>
        </w:tc>
        <w:tc>
          <w:tcPr>
            <w:tcW w:w="471" w:type="pct"/>
            <w:shd w:val="clear" w:color="auto" w:fill="auto"/>
            <w:noWrap/>
            <w:vAlign w:val="bottom"/>
            <w:hideMark/>
          </w:tcPr>
          <w:p w14:paraId="0FF58AB7"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1" w:type="pct"/>
            <w:shd w:val="clear" w:color="auto" w:fill="auto"/>
            <w:noWrap/>
            <w:vAlign w:val="bottom"/>
            <w:hideMark/>
          </w:tcPr>
          <w:p w14:paraId="59D755E3"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1160" w:type="pct"/>
            <w:shd w:val="clear" w:color="auto" w:fill="auto"/>
            <w:vAlign w:val="bottom"/>
            <w:hideMark/>
          </w:tcPr>
          <w:p w14:paraId="3506C347"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13.79</w:t>
            </w:r>
          </w:p>
        </w:tc>
      </w:tr>
      <w:tr w:rsidR="006B1339" w:rsidRPr="002F3B34" w14:paraId="115B62F6" w14:textId="77777777" w:rsidTr="000F3193">
        <w:trPr>
          <w:trHeight w:val="300"/>
        </w:trPr>
        <w:tc>
          <w:tcPr>
            <w:tcW w:w="1134" w:type="pct"/>
            <w:shd w:val="clear" w:color="auto" w:fill="auto"/>
            <w:noWrap/>
            <w:vAlign w:val="bottom"/>
            <w:hideMark/>
          </w:tcPr>
          <w:p w14:paraId="09234353"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Bulgaria</w:t>
            </w:r>
          </w:p>
        </w:tc>
        <w:tc>
          <w:tcPr>
            <w:tcW w:w="500" w:type="pct"/>
            <w:shd w:val="clear" w:color="auto" w:fill="auto"/>
            <w:noWrap/>
            <w:vAlign w:val="bottom"/>
            <w:hideMark/>
          </w:tcPr>
          <w:p w14:paraId="28DA82DF"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61DB75EF"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3B483242"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-755.23</w:t>
            </w:r>
          </w:p>
        </w:tc>
        <w:tc>
          <w:tcPr>
            <w:tcW w:w="471" w:type="pct"/>
            <w:shd w:val="clear" w:color="auto" w:fill="auto"/>
            <w:noWrap/>
            <w:vAlign w:val="bottom"/>
            <w:hideMark/>
          </w:tcPr>
          <w:p w14:paraId="5BBCDF0C"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2007</w:t>
            </w:r>
          </w:p>
        </w:tc>
        <w:tc>
          <w:tcPr>
            <w:tcW w:w="551" w:type="pct"/>
            <w:shd w:val="clear" w:color="auto" w:fill="auto"/>
            <w:noWrap/>
            <w:vAlign w:val="bottom"/>
            <w:hideMark/>
          </w:tcPr>
          <w:p w14:paraId="77C5BDBA"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780C77C3"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25.43</w:t>
            </w:r>
          </w:p>
        </w:tc>
      </w:tr>
      <w:tr w:rsidR="006B1339" w:rsidRPr="002F3B34" w14:paraId="586A902C" w14:textId="77777777" w:rsidTr="000F3193">
        <w:trPr>
          <w:trHeight w:val="300"/>
        </w:trPr>
        <w:tc>
          <w:tcPr>
            <w:tcW w:w="1134" w:type="pct"/>
            <w:shd w:val="clear" w:color="auto" w:fill="auto"/>
            <w:noWrap/>
            <w:vAlign w:val="bottom"/>
            <w:hideMark/>
          </w:tcPr>
          <w:p w14:paraId="79F0393A"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Germany</w:t>
            </w:r>
          </w:p>
        </w:tc>
        <w:tc>
          <w:tcPr>
            <w:tcW w:w="500" w:type="pct"/>
            <w:shd w:val="clear" w:color="auto" w:fill="auto"/>
            <w:noWrap/>
            <w:vAlign w:val="bottom"/>
            <w:hideMark/>
          </w:tcPr>
          <w:p w14:paraId="0FD05950"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46FF13A0"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42A0B87E"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-1693.82</w:t>
            </w:r>
          </w:p>
        </w:tc>
        <w:tc>
          <w:tcPr>
            <w:tcW w:w="471" w:type="pct"/>
            <w:shd w:val="clear" w:color="auto" w:fill="auto"/>
            <w:noWrap/>
            <w:vAlign w:val="bottom"/>
            <w:hideMark/>
          </w:tcPr>
          <w:p w14:paraId="2AD28BAC"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551" w:type="pct"/>
            <w:shd w:val="clear" w:color="auto" w:fill="auto"/>
            <w:noWrap/>
            <w:vAlign w:val="bottom"/>
            <w:hideMark/>
          </w:tcPr>
          <w:p w14:paraId="6A450D6A"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762083BB"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57.34</w:t>
            </w:r>
          </w:p>
        </w:tc>
      </w:tr>
      <w:tr w:rsidR="006B1339" w:rsidRPr="002F3B34" w14:paraId="7B302E41" w14:textId="77777777" w:rsidTr="000F3193">
        <w:trPr>
          <w:trHeight w:val="300"/>
        </w:trPr>
        <w:tc>
          <w:tcPr>
            <w:tcW w:w="1134" w:type="pct"/>
            <w:shd w:val="clear" w:color="auto" w:fill="auto"/>
            <w:noWrap/>
            <w:vAlign w:val="bottom"/>
            <w:hideMark/>
          </w:tcPr>
          <w:p w14:paraId="0B29CFEA"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Czech Republic</w:t>
            </w:r>
          </w:p>
        </w:tc>
        <w:tc>
          <w:tcPr>
            <w:tcW w:w="500" w:type="pct"/>
            <w:shd w:val="clear" w:color="auto" w:fill="auto"/>
            <w:noWrap/>
            <w:vAlign w:val="bottom"/>
            <w:hideMark/>
          </w:tcPr>
          <w:p w14:paraId="5E19F502"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24D945FD"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631" w:type="pct"/>
            <w:shd w:val="clear" w:color="auto" w:fill="auto"/>
            <w:vAlign w:val="bottom"/>
            <w:hideMark/>
          </w:tcPr>
          <w:p w14:paraId="3E5EC2D7"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-696.69</w:t>
            </w:r>
          </w:p>
        </w:tc>
        <w:tc>
          <w:tcPr>
            <w:tcW w:w="471" w:type="pct"/>
            <w:shd w:val="clear" w:color="auto" w:fill="auto"/>
            <w:noWrap/>
            <w:vAlign w:val="bottom"/>
            <w:hideMark/>
          </w:tcPr>
          <w:p w14:paraId="54659A54"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58DE7BC1"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2010</w:t>
            </w:r>
          </w:p>
        </w:tc>
        <w:tc>
          <w:tcPr>
            <w:tcW w:w="1160" w:type="pct"/>
            <w:shd w:val="clear" w:color="auto" w:fill="auto"/>
            <w:vAlign w:val="bottom"/>
            <w:hideMark/>
          </w:tcPr>
          <w:p w14:paraId="6A3E82E3"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80.27</w:t>
            </w:r>
          </w:p>
        </w:tc>
      </w:tr>
      <w:tr w:rsidR="006B1339" w:rsidRPr="002F3B34" w14:paraId="37D79DEB" w14:textId="77777777" w:rsidTr="000F3193">
        <w:trPr>
          <w:trHeight w:val="300"/>
        </w:trPr>
        <w:tc>
          <w:tcPr>
            <w:tcW w:w="1134" w:type="pct"/>
            <w:shd w:val="clear" w:color="auto" w:fill="auto"/>
            <w:noWrap/>
            <w:vAlign w:val="bottom"/>
            <w:hideMark/>
          </w:tcPr>
          <w:p w14:paraId="026B741F"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Switzerland</w:t>
            </w:r>
          </w:p>
        </w:tc>
        <w:tc>
          <w:tcPr>
            <w:tcW w:w="500" w:type="pct"/>
            <w:shd w:val="clear" w:color="auto" w:fill="auto"/>
            <w:noWrap/>
            <w:vAlign w:val="bottom"/>
            <w:hideMark/>
          </w:tcPr>
          <w:p w14:paraId="6F526A27"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47BF5068"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117C8877"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-804.11</w:t>
            </w:r>
          </w:p>
        </w:tc>
        <w:tc>
          <w:tcPr>
            <w:tcW w:w="471" w:type="pct"/>
            <w:shd w:val="clear" w:color="auto" w:fill="auto"/>
            <w:noWrap/>
            <w:vAlign w:val="bottom"/>
            <w:hideMark/>
          </w:tcPr>
          <w:p w14:paraId="718BF92C" w14:textId="77777777" w:rsidR="006B1339" w:rsidRPr="002F3B34" w:rsidRDefault="006B1339" w:rsidP="006B1339">
            <w:pPr>
              <w:jc w:val="right"/>
              <w:rPr>
                <w:rFonts w:ascii="Times New Roman" w:eastAsia="Times New Roman" w:hAnsi="Times New Roman" w:cs="Times New Roman"/>
                <w:szCs w:val="24"/>
                <w:lang w:bidi="ar-SA"/>
              </w:rPr>
            </w:pPr>
          </w:p>
        </w:tc>
        <w:tc>
          <w:tcPr>
            <w:tcW w:w="551" w:type="pct"/>
            <w:shd w:val="clear" w:color="auto" w:fill="auto"/>
            <w:noWrap/>
            <w:vAlign w:val="bottom"/>
            <w:hideMark/>
          </w:tcPr>
          <w:p w14:paraId="21E2F2D0" w14:textId="77777777" w:rsidR="006B1339" w:rsidRPr="002F3B34" w:rsidRDefault="006B1339" w:rsidP="006B1339">
            <w:pPr>
              <w:jc w:val="right"/>
              <w:rPr>
                <w:rFonts w:ascii="Times New Roman" w:eastAsia="Times New Roman" w:hAnsi="Times New Roman" w:cs="Times New Roman"/>
                <w:szCs w:val="24"/>
                <w:lang w:bidi="ar-SA"/>
              </w:rPr>
            </w:pPr>
          </w:p>
        </w:tc>
        <w:tc>
          <w:tcPr>
            <w:tcW w:w="1160" w:type="pct"/>
            <w:shd w:val="clear" w:color="auto" w:fill="auto"/>
            <w:vAlign w:val="bottom"/>
            <w:hideMark/>
          </w:tcPr>
          <w:p w14:paraId="1A89E9B6"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87.22</w:t>
            </w:r>
          </w:p>
        </w:tc>
      </w:tr>
      <w:tr w:rsidR="006B1339" w:rsidRPr="002F3B34" w14:paraId="2A09ADD7" w14:textId="77777777" w:rsidTr="000F3193">
        <w:trPr>
          <w:trHeight w:val="300"/>
        </w:trPr>
        <w:tc>
          <w:tcPr>
            <w:tcW w:w="1134" w:type="pct"/>
            <w:shd w:val="clear" w:color="auto" w:fill="auto"/>
            <w:noWrap/>
            <w:vAlign w:val="bottom"/>
            <w:hideMark/>
          </w:tcPr>
          <w:p w14:paraId="65D2200D"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France</w:t>
            </w:r>
          </w:p>
        </w:tc>
        <w:tc>
          <w:tcPr>
            <w:tcW w:w="500" w:type="pct"/>
            <w:shd w:val="clear" w:color="auto" w:fill="auto"/>
            <w:noWrap/>
            <w:vAlign w:val="bottom"/>
            <w:hideMark/>
          </w:tcPr>
          <w:p w14:paraId="49249134"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1AE342BF"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1B845E79"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-589.47</w:t>
            </w:r>
          </w:p>
        </w:tc>
        <w:tc>
          <w:tcPr>
            <w:tcW w:w="471" w:type="pct"/>
            <w:shd w:val="clear" w:color="auto" w:fill="auto"/>
            <w:noWrap/>
            <w:vAlign w:val="bottom"/>
            <w:hideMark/>
          </w:tcPr>
          <w:p w14:paraId="40290D91" w14:textId="77777777" w:rsidR="006B1339" w:rsidRPr="002F3B34" w:rsidRDefault="006B1339" w:rsidP="006B1339">
            <w:pPr>
              <w:jc w:val="right"/>
              <w:rPr>
                <w:rFonts w:ascii="Times New Roman" w:eastAsia="Times New Roman" w:hAnsi="Times New Roman" w:cs="Times New Roman"/>
                <w:szCs w:val="24"/>
                <w:lang w:bidi="ar-SA"/>
              </w:rPr>
            </w:pPr>
          </w:p>
        </w:tc>
        <w:tc>
          <w:tcPr>
            <w:tcW w:w="551" w:type="pct"/>
            <w:shd w:val="clear" w:color="auto" w:fill="auto"/>
            <w:noWrap/>
            <w:vAlign w:val="bottom"/>
            <w:hideMark/>
          </w:tcPr>
          <w:p w14:paraId="01FA43B4" w14:textId="77777777" w:rsidR="006B1339" w:rsidRPr="002F3B34" w:rsidRDefault="006B1339" w:rsidP="006B1339">
            <w:pPr>
              <w:jc w:val="right"/>
              <w:rPr>
                <w:rFonts w:ascii="Times New Roman" w:eastAsia="Times New Roman" w:hAnsi="Times New Roman" w:cs="Times New Roman"/>
                <w:szCs w:val="24"/>
                <w:lang w:bidi="ar-SA"/>
              </w:rPr>
            </w:pPr>
          </w:p>
        </w:tc>
        <w:tc>
          <w:tcPr>
            <w:tcW w:w="1160" w:type="pct"/>
            <w:shd w:val="clear" w:color="auto" w:fill="auto"/>
            <w:vAlign w:val="bottom"/>
            <w:hideMark/>
          </w:tcPr>
          <w:p w14:paraId="79040390"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101.66</w:t>
            </w:r>
          </w:p>
        </w:tc>
      </w:tr>
      <w:tr w:rsidR="006B1339" w:rsidRPr="002F3B34" w14:paraId="65D6E290" w14:textId="77777777" w:rsidTr="000F3193">
        <w:trPr>
          <w:trHeight w:val="300"/>
        </w:trPr>
        <w:tc>
          <w:tcPr>
            <w:tcW w:w="1134" w:type="pct"/>
            <w:shd w:val="clear" w:color="auto" w:fill="auto"/>
            <w:noWrap/>
            <w:vAlign w:val="bottom"/>
            <w:hideMark/>
          </w:tcPr>
          <w:p w14:paraId="505EEBB1"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Netherlands</w:t>
            </w:r>
          </w:p>
        </w:tc>
        <w:tc>
          <w:tcPr>
            <w:tcW w:w="500" w:type="pct"/>
            <w:shd w:val="clear" w:color="auto" w:fill="auto"/>
            <w:noWrap/>
            <w:vAlign w:val="bottom"/>
            <w:hideMark/>
          </w:tcPr>
          <w:p w14:paraId="6484D64A"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2008</w:t>
            </w:r>
          </w:p>
        </w:tc>
        <w:tc>
          <w:tcPr>
            <w:tcW w:w="552" w:type="pct"/>
            <w:shd w:val="clear" w:color="auto" w:fill="auto"/>
            <w:noWrap/>
            <w:vAlign w:val="bottom"/>
            <w:hideMark/>
          </w:tcPr>
          <w:p w14:paraId="571DD1CA"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shd w:val="clear" w:color="auto" w:fill="auto"/>
            <w:vAlign w:val="bottom"/>
            <w:hideMark/>
          </w:tcPr>
          <w:p w14:paraId="2E06045B"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-1816.88</w:t>
            </w:r>
          </w:p>
        </w:tc>
        <w:tc>
          <w:tcPr>
            <w:tcW w:w="471" w:type="pct"/>
            <w:shd w:val="clear" w:color="auto" w:fill="auto"/>
            <w:noWrap/>
            <w:vAlign w:val="bottom"/>
            <w:hideMark/>
          </w:tcPr>
          <w:p w14:paraId="37E1E5F5"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551" w:type="pct"/>
            <w:shd w:val="clear" w:color="auto" w:fill="auto"/>
            <w:noWrap/>
            <w:vAlign w:val="bottom"/>
            <w:hideMark/>
          </w:tcPr>
          <w:p w14:paraId="703FCC1B" w14:textId="77777777" w:rsidR="006B1339" w:rsidRPr="002F3B34" w:rsidRDefault="005B555D" w:rsidP="006B1339">
            <w:pPr>
              <w:jc w:val="right"/>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2011</w:t>
            </w:r>
          </w:p>
        </w:tc>
        <w:tc>
          <w:tcPr>
            <w:tcW w:w="1160" w:type="pct"/>
            <w:shd w:val="clear" w:color="auto" w:fill="auto"/>
            <w:vAlign w:val="bottom"/>
            <w:hideMark/>
          </w:tcPr>
          <w:p w14:paraId="5A861B6C"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125.48</w:t>
            </w:r>
          </w:p>
        </w:tc>
      </w:tr>
      <w:tr w:rsidR="006B1339" w:rsidRPr="002F3B34" w14:paraId="47479EFA" w14:textId="77777777" w:rsidTr="000F3193">
        <w:trPr>
          <w:trHeight w:val="300"/>
        </w:trPr>
        <w:tc>
          <w:tcPr>
            <w:tcW w:w="1134" w:type="pct"/>
            <w:tcBorders>
              <w:bottom w:val="single" w:sz="4" w:space="0" w:color="auto"/>
            </w:tcBorders>
            <w:shd w:val="clear" w:color="auto" w:fill="auto"/>
            <w:noWrap/>
            <w:vAlign w:val="bottom"/>
            <w:hideMark/>
          </w:tcPr>
          <w:p w14:paraId="7FBE9077" w14:textId="77777777" w:rsidR="006B1339" w:rsidRPr="002F3B34" w:rsidRDefault="006245D6" w:rsidP="006B1339">
            <w:pP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United States</w:t>
            </w:r>
          </w:p>
        </w:tc>
        <w:tc>
          <w:tcPr>
            <w:tcW w:w="500" w:type="pct"/>
            <w:tcBorders>
              <w:bottom w:val="single" w:sz="4" w:space="0" w:color="auto"/>
            </w:tcBorders>
            <w:shd w:val="clear" w:color="auto" w:fill="auto"/>
            <w:noWrap/>
            <w:vAlign w:val="bottom"/>
            <w:hideMark/>
          </w:tcPr>
          <w:p w14:paraId="4CB9237C"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2007</w:t>
            </w:r>
          </w:p>
        </w:tc>
        <w:tc>
          <w:tcPr>
            <w:tcW w:w="552" w:type="pct"/>
            <w:tcBorders>
              <w:bottom w:val="single" w:sz="4" w:space="0" w:color="auto"/>
            </w:tcBorders>
            <w:shd w:val="clear" w:color="auto" w:fill="auto"/>
            <w:noWrap/>
            <w:vAlign w:val="bottom"/>
            <w:hideMark/>
          </w:tcPr>
          <w:p w14:paraId="7593286E" w14:textId="77777777" w:rsidR="004F25D5" w:rsidRPr="002F3B34" w:rsidRDefault="006245D6" w:rsidP="000F3193">
            <w:pPr>
              <w:jc w:val="center"/>
              <w:rPr>
                <w:rFonts w:ascii="Times New Roman" w:eastAsia="Times New Roman" w:hAnsi="Times New Roman" w:cs="Times New Roman"/>
                <w:szCs w:val="24"/>
                <w:lang w:bidi="ar-SA"/>
              </w:rPr>
            </w:pPr>
            <w:r w:rsidRPr="002F3B34">
              <w:rPr>
                <w:rFonts w:ascii="Times New Roman" w:eastAsia="Times New Roman" w:hAnsi="Times New Roman" w:cs="Times New Roman"/>
                <w:szCs w:val="24"/>
                <w:lang w:bidi="ar-SA"/>
              </w:rPr>
              <w:t>2009</w:t>
            </w:r>
          </w:p>
        </w:tc>
        <w:tc>
          <w:tcPr>
            <w:tcW w:w="631" w:type="pct"/>
            <w:tcBorders>
              <w:bottom w:val="single" w:sz="4" w:space="0" w:color="auto"/>
            </w:tcBorders>
            <w:shd w:val="clear" w:color="auto" w:fill="auto"/>
            <w:vAlign w:val="bottom"/>
            <w:hideMark/>
          </w:tcPr>
          <w:p w14:paraId="298302BE"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-2447.93</w:t>
            </w:r>
          </w:p>
        </w:tc>
        <w:tc>
          <w:tcPr>
            <w:tcW w:w="471" w:type="pct"/>
            <w:tcBorders>
              <w:bottom w:val="single" w:sz="4" w:space="0" w:color="auto"/>
            </w:tcBorders>
            <w:shd w:val="clear" w:color="auto" w:fill="auto"/>
            <w:noWrap/>
            <w:vAlign w:val="bottom"/>
            <w:hideMark/>
          </w:tcPr>
          <w:p w14:paraId="220CF364" w14:textId="77777777" w:rsidR="006B1339" w:rsidRPr="002F3B34" w:rsidRDefault="006B1339" w:rsidP="006B1339">
            <w:pPr>
              <w:jc w:val="right"/>
              <w:rPr>
                <w:rFonts w:ascii="Times New Roman" w:eastAsia="Times New Roman" w:hAnsi="Times New Roman" w:cs="Times New Roman"/>
                <w:szCs w:val="24"/>
                <w:lang w:bidi="ar-SA"/>
              </w:rPr>
            </w:pPr>
          </w:p>
        </w:tc>
        <w:tc>
          <w:tcPr>
            <w:tcW w:w="551" w:type="pct"/>
            <w:tcBorders>
              <w:bottom w:val="single" w:sz="4" w:space="0" w:color="auto"/>
            </w:tcBorders>
            <w:shd w:val="clear" w:color="auto" w:fill="auto"/>
            <w:noWrap/>
            <w:vAlign w:val="bottom"/>
            <w:hideMark/>
          </w:tcPr>
          <w:p w14:paraId="65E1F7ED" w14:textId="77777777" w:rsidR="006B1339" w:rsidRPr="002F3B34" w:rsidRDefault="006B1339" w:rsidP="006B1339">
            <w:pPr>
              <w:jc w:val="right"/>
              <w:rPr>
                <w:rFonts w:ascii="Times New Roman" w:eastAsia="Times New Roman" w:hAnsi="Times New Roman" w:cs="Times New Roman"/>
                <w:szCs w:val="24"/>
                <w:lang w:bidi="ar-SA"/>
              </w:rPr>
            </w:pPr>
          </w:p>
        </w:tc>
        <w:tc>
          <w:tcPr>
            <w:tcW w:w="1160" w:type="pct"/>
            <w:tcBorders>
              <w:bottom w:val="single" w:sz="4" w:space="0" w:color="auto"/>
            </w:tcBorders>
            <w:shd w:val="clear" w:color="auto" w:fill="auto"/>
            <w:noWrap/>
            <w:vAlign w:val="bottom"/>
            <w:hideMark/>
          </w:tcPr>
          <w:p w14:paraId="28F12C92" w14:textId="77777777" w:rsidR="004F25D5" w:rsidRPr="002F3B34" w:rsidRDefault="005B555D" w:rsidP="000F3193">
            <w:pPr>
              <w:jc w:val="center"/>
              <w:rPr>
                <w:rFonts w:ascii="Times New Roman" w:eastAsia="Times New Roman" w:hAnsi="Times New Roman" w:cs="Times New Roman"/>
                <w:szCs w:val="24"/>
                <w:lang w:bidi="ar-SA"/>
              </w:rPr>
            </w:pPr>
            <w:r w:rsidRPr="002F3B34">
              <w:rPr>
                <w:rFonts w:ascii="Times New Roman" w:hAnsi="Times New Roman" w:cs="Times New Roman"/>
                <w:szCs w:val="24"/>
              </w:rPr>
              <w:t>174.00</w:t>
            </w:r>
          </w:p>
        </w:tc>
      </w:tr>
    </w:tbl>
    <w:p w14:paraId="21AAB0AB" w14:textId="77777777" w:rsidR="006B1339" w:rsidRPr="002F3B34" w:rsidRDefault="006245D6">
      <w:pPr>
        <w:widowControl w:val="0"/>
        <w:autoSpaceDE w:val="0"/>
        <w:autoSpaceDN w:val="0"/>
        <w:adjustRightInd w:val="0"/>
        <w:rPr>
          <w:rFonts w:ascii="Times New Roman" w:hAnsi="Times New Roman" w:cs="Times New Roman"/>
          <w:sz w:val="20"/>
          <w:szCs w:val="20"/>
          <w:lang w:val="en-GB"/>
        </w:rPr>
      </w:pPr>
      <w:r w:rsidRPr="00A84EB0">
        <w:rPr>
          <w:rFonts w:ascii="Times New Roman" w:hAnsi="Times New Roman" w:cs="Times New Roman"/>
          <w:i/>
          <w:sz w:val="20"/>
          <w:szCs w:val="20"/>
        </w:rPr>
        <w:t>Notes:</w:t>
      </w:r>
      <w:r w:rsidRPr="002F3B34">
        <w:rPr>
          <w:rFonts w:ascii="Times New Roman" w:hAnsi="Times New Roman" w:cs="Times New Roman"/>
          <w:sz w:val="20"/>
          <w:szCs w:val="20"/>
        </w:rPr>
        <w:t xml:space="preserve"> </w:t>
      </w:r>
      <w:r w:rsidRPr="002F3B34">
        <w:rPr>
          <w:rFonts w:ascii="Times New Roman" w:hAnsi="Times New Roman" w:cs="Times New Roman"/>
          <w:sz w:val="20"/>
          <w:szCs w:val="20"/>
          <w:lang w:val="en-GB"/>
        </w:rPr>
        <w:t>Source: WHO Health expenditure database 2013 edition, EuroStat 2013 edition.</w:t>
      </w:r>
    </w:p>
    <w:p w14:paraId="2C484D6A" w14:textId="77777777" w:rsidR="006B1339" w:rsidRPr="002F3B34" w:rsidRDefault="006245D6">
      <w:pPr>
        <w:widowControl w:val="0"/>
        <w:autoSpaceDE w:val="0"/>
        <w:autoSpaceDN w:val="0"/>
        <w:adjustRightInd w:val="0"/>
        <w:rPr>
          <w:rFonts w:ascii="Times New Roman" w:hAnsi="Times New Roman" w:cs="Times New Roman"/>
          <w:sz w:val="20"/>
          <w:szCs w:val="20"/>
          <w:lang w:val="en-GB"/>
        </w:rPr>
      </w:pPr>
      <w:r w:rsidRPr="002F3B34">
        <w:rPr>
          <w:rFonts w:ascii="Times New Roman" w:hAnsi="Times New Roman" w:cs="Times New Roman"/>
          <w:sz w:val="20"/>
          <w:szCs w:val="20"/>
          <w:lang w:val="en-GB"/>
        </w:rPr>
        <w:t>Both GDP and government health spending are adjusted for inflation and purchasing power.</w:t>
      </w:r>
    </w:p>
    <w:p w14:paraId="6CCEA54F" w14:textId="77777777" w:rsidR="00FC41B2" w:rsidRPr="002F3B34" w:rsidRDefault="00A009B8" w:rsidP="00FC41B2">
      <w:pPr>
        <w:outlineLvl w:val="0"/>
        <w:rPr>
          <w:rFonts w:ascii="Times New Roman" w:hAnsi="Times New Roman" w:cs="Times New Roman"/>
          <w:sz w:val="20"/>
          <w:szCs w:val="20"/>
        </w:rPr>
      </w:pPr>
      <w:r w:rsidRPr="002F3B34">
        <w:rPr>
          <w:rFonts w:ascii="Times New Roman" w:hAnsi="Times New Roman" w:cs="Times New Roman"/>
          <w:sz w:val="20"/>
          <w:szCs w:val="20"/>
        </w:rPr>
        <w:t>Recession: Peak is height of GDP (PPP, constant, per capita) and Trough is lowest point.</w:t>
      </w:r>
    </w:p>
    <w:p w14:paraId="4EA8C4AE" w14:textId="77777777" w:rsidR="00A47A28" w:rsidRPr="002F3B34" w:rsidRDefault="00A009B8" w:rsidP="007030EA">
      <w:pPr>
        <w:outlineLvl w:val="0"/>
        <w:rPr>
          <w:rFonts w:ascii="Times New Roman" w:hAnsi="Times New Roman" w:cs="Times New Roman"/>
          <w:szCs w:val="24"/>
        </w:rPr>
        <w:sectPr w:rsidR="00A47A28" w:rsidRPr="002F3B34" w:rsidSect="000F3193">
          <w:pgSz w:w="11906" w:h="16838"/>
          <w:pgMar w:top="1440" w:right="1440" w:bottom="1440" w:left="1440" w:header="708" w:footer="708" w:gutter="0"/>
          <w:cols w:space="708"/>
          <w:docGrid w:linePitch="360"/>
        </w:sectPr>
      </w:pPr>
      <w:r w:rsidRPr="002F3B34">
        <w:rPr>
          <w:rFonts w:ascii="Times New Roman" w:hAnsi="Times New Roman" w:cs="Times New Roman"/>
          <w:sz w:val="20"/>
          <w:szCs w:val="20"/>
        </w:rPr>
        <w:t>Austerity: If blank, no austerity and therefore measures change in spending in year after the recession (i.e., 2009-2011).  Peak indicates the start of austerity (i.e., the highest point of government spending before the decline). Trough indicates the low point of government spending before it begins to increase or the last available data point.</w:t>
      </w:r>
    </w:p>
    <w:p w14:paraId="3B8E2027" w14:textId="77777777" w:rsidR="00D87CF5" w:rsidRDefault="005B555D" w:rsidP="00501F4F">
      <w:pPr>
        <w:rPr>
          <w:rFonts w:ascii="Times New Roman" w:hAnsi="Times New Roman" w:cs="Times New Roman"/>
          <w:szCs w:val="24"/>
        </w:rPr>
      </w:pPr>
      <w:r w:rsidRPr="002F3B34">
        <w:rPr>
          <w:rFonts w:ascii="Times New Roman" w:hAnsi="Times New Roman" w:cs="Times New Roman"/>
          <w:szCs w:val="24"/>
        </w:rPr>
        <w:lastRenderedPageBreak/>
        <w:t>Web Appendix 2: Summary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56"/>
        <w:gridCol w:w="1896"/>
        <w:gridCol w:w="996"/>
        <w:gridCol w:w="1211"/>
        <w:gridCol w:w="1150"/>
        <w:gridCol w:w="2544"/>
        <w:gridCol w:w="2703"/>
      </w:tblGrid>
      <w:tr w:rsidR="004D7BD3" w:rsidRPr="006D4E7A" w14:paraId="54DFB2D5" w14:textId="77777777" w:rsidTr="004D7BD3">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442F2"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Variables</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2265"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Mean</w:t>
            </w:r>
          </w:p>
          <w:p w14:paraId="3BE9466C"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(SD)</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6CE1"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Min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0F72A"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Max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56D0D0"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Country-years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8B23"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Countries</w:t>
            </w:r>
          </w:p>
        </w:tc>
        <w:tc>
          <w:tcPr>
            <w:tcW w:w="0" w:type="auto"/>
            <w:tcBorders>
              <w:top w:val="single" w:sz="4" w:space="0" w:color="auto"/>
              <w:left w:val="single" w:sz="4" w:space="0" w:color="auto"/>
              <w:bottom w:val="single" w:sz="4" w:space="0" w:color="auto"/>
              <w:right w:val="single" w:sz="4" w:space="0" w:color="auto"/>
            </w:tcBorders>
            <w:vAlign w:val="center"/>
          </w:tcPr>
          <w:p w14:paraId="170793CF"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Coding</w:t>
            </w:r>
          </w:p>
        </w:tc>
        <w:tc>
          <w:tcPr>
            <w:tcW w:w="0" w:type="auto"/>
            <w:tcBorders>
              <w:top w:val="single" w:sz="4" w:space="0" w:color="auto"/>
              <w:left w:val="single" w:sz="4" w:space="0" w:color="auto"/>
              <w:bottom w:val="single" w:sz="4" w:space="0" w:color="auto"/>
              <w:right w:val="single" w:sz="4" w:space="0" w:color="auto"/>
            </w:tcBorders>
            <w:vAlign w:val="center"/>
          </w:tcPr>
          <w:p w14:paraId="18BE3ABA"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Source</w:t>
            </w:r>
          </w:p>
        </w:tc>
      </w:tr>
      <w:tr w:rsidR="004D7BD3" w:rsidRPr="006D4E7A" w14:paraId="34E4C2B9" w14:textId="77777777" w:rsidTr="004D7BD3">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C773D" w14:textId="77777777" w:rsidR="004D7BD3" w:rsidRPr="004D7BD3" w:rsidRDefault="004D7BD3" w:rsidP="002A175E">
            <w:pP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Annual change in government spending on health</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71B2E"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40.35</w:t>
            </w:r>
          </w:p>
          <w:p w14:paraId="2F3A7A25"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(86.67)</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AD63"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-418.87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4A7E5"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598.97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EA02FC"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409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750F"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27</w:t>
            </w:r>
          </w:p>
        </w:tc>
        <w:tc>
          <w:tcPr>
            <w:tcW w:w="0" w:type="auto"/>
            <w:tcBorders>
              <w:top w:val="single" w:sz="4" w:space="0" w:color="auto"/>
              <w:left w:val="single" w:sz="4" w:space="0" w:color="auto"/>
              <w:bottom w:val="single" w:sz="4" w:space="0" w:color="auto"/>
              <w:right w:val="single" w:sz="4" w:space="0" w:color="auto"/>
            </w:tcBorders>
            <w:vAlign w:val="center"/>
          </w:tcPr>
          <w:p w14:paraId="36748F80"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PPP, constant, per capita</w:t>
            </w:r>
          </w:p>
        </w:tc>
        <w:tc>
          <w:tcPr>
            <w:tcW w:w="0" w:type="auto"/>
            <w:tcBorders>
              <w:top w:val="single" w:sz="4" w:space="0" w:color="auto"/>
              <w:left w:val="single" w:sz="4" w:space="0" w:color="auto"/>
              <w:bottom w:val="single" w:sz="4" w:space="0" w:color="auto"/>
              <w:right w:val="single" w:sz="4" w:space="0" w:color="auto"/>
            </w:tcBorders>
            <w:vAlign w:val="center"/>
          </w:tcPr>
          <w:p w14:paraId="30B1ED2E"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EuroStat 2013 edition</w:t>
            </w:r>
          </w:p>
        </w:tc>
      </w:tr>
      <w:tr w:rsidR="004D7BD3" w:rsidRPr="006D4E7A" w14:paraId="589CB6BE" w14:textId="77777777" w:rsidTr="004D7BD3">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EF1D9" w14:textId="77777777" w:rsidR="004D7BD3" w:rsidRPr="004D7BD3" w:rsidRDefault="004D7BD3" w:rsidP="002A175E">
            <w:pPr>
              <w:rPr>
                <w:rFonts w:ascii="Times New Roman" w:eastAsia="Times New Roman" w:hAnsi="Times New Roman" w:cs="Times New Roman"/>
                <w:szCs w:val="24"/>
                <w:lang w:val="en-GB" w:eastAsia="en-GB" w:bidi="ar-SA"/>
              </w:rPr>
            </w:pPr>
            <w:r w:rsidRPr="00A04F75">
              <w:rPr>
                <w:rFonts w:ascii="Times New Roman" w:eastAsia="Times New Roman" w:hAnsi="Times New Roman" w:cs="Times New Roman"/>
                <w:szCs w:val="24"/>
                <w:lang w:val="en-GB" w:eastAsia="en-GB" w:bidi="ar-SA"/>
              </w:rPr>
              <w:t>Annual change in GDP</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0E5FB" w14:textId="77777777" w:rsidR="004D7BD3" w:rsidRPr="002F3B34" w:rsidRDefault="004D7BD3" w:rsidP="00A84EB0">
            <w:pPr>
              <w:jc w:val="center"/>
              <w:rPr>
                <w:rFonts w:ascii="Times New Roman" w:eastAsia="Times New Roman" w:hAnsi="Times New Roman" w:cs="Times New Roman"/>
                <w:szCs w:val="24"/>
                <w:lang w:val="en-GB" w:eastAsia="en-GB" w:bidi="ar-SA"/>
              </w:rPr>
            </w:pPr>
            <w:r w:rsidRPr="00A04F75">
              <w:rPr>
                <w:rFonts w:ascii="Times New Roman" w:eastAsia="Times New Roman" w:hAnsi="Times New Roman" w:cs="Times New Roman"/>
                <w:szCs w:val="24"/>
                <w:lang w:val="en-GB" w:eastAsia="en-GB" w:bidi="ar-SA"/>
              </w:rPr>
              <w:t>351.12</w:t>
            </w:r>
          </w:p>
          <w:p w14:paraId="576380FC"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w:t>
            </w:r>
            <w:r w:rsidRPr="00A04F75">
              <w:rPr>
                <w:rFonts w:ascii="Times New Roman" w:eastAsia="Times New Roman" w:hAnsi="Times New Roman" w:cs="Times New Roman"/>
                <w:szCs w:val="24"/>
                <w:lang w:val="en-GB" w:eastAsia="en-GB" w:bidi="ar-SA"/>
              </w:rPr>
              <w:t>940.99</w:t>
            </w:r>
            <w:r w:rsidRPr="002F3B34">
              <w:rPr>
                <w:rFonts w:ascii="Times New Roman" w:eastAsia="Times New Roman" w:hAnsi="Times New Roman" w:cs="Times New Roman"/>
                <w:szCs w:val="24"/>
                <w:lang w:val="en-GB" w:eastAsia="en-GB" w:bidi="ar-SA"/>
              </w:rPr>
              <w:t>)</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233C"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w:t>
            </w:r>
            <w:r w:rsidRPr="00A04F75">
              <w:rPr>
                <w:rFonts w:ascii="Times New Roman" w:eastAsia="Times New Roman" w:hAnsi="Times New Roman" w:cs="Times New Roman"/>
                <w:szCs w:val="24"/>
                <w:lang w:val="en-GB" w:eastAsia="en-GB" w:bidi="ar-SA"/>
              </w:rPr>
              <w:t>4794.69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C668D"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A04F75">
              <w:rPr>
                <w:rFonts w:ascii="Times New Roman" w:eastAsia="Times New Roman" w:hAnsi="Times New Roman" w:cs="Times New Roman"/>
                <w:szCs w:val="24"/>
                <w:lang w:val="en-GB" w:eastAsia="en-GB" w:bidi="ar-SA"/>
              </w:rPr>
              <w:t>4449.36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06FA13"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A04F75">
              <w:rPr>
                <w:rFonts w:ascii="Times New Roman" w:eastAsia="Times New Roman" w:hAnsi="Times New Roman" w:cs="Times New Roman"/>
                <w:szCs w:val="24"/>
                <w:lang w:val="en-GB" w:eastAsia="en-GB" w:bidi="ar-SA"/>
              </w:rPr>
              <w:t>428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4965A"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27</w:t>
            </w:r>
          </w:p>
        </w:tc>
        <w:tc>
          <w:tcPr>
            <w:tcW w:w="0" w:type="auto"/>
            <w:tcBorders>
              <w:top w:val="single" w:sz="4" w:space="0" w:color="auto"/>
              <w:left w:val="single" w:sz="4" w:space="0" w:color="auto"/>
              <w:bottom w:val="single" w:sz="4" w:space="0" w:color="auto"/>
              <w:right w:val="single" w:sz="4" w:space="0" w:color="auto"/>
            </w:tcBorders>
            <w:vAlign w:val="center"/>
          </w:tcPr>
          <w:p w14:paraId="55F8C074" w14:textId="77777777" w:rsidR="004D7BD3" w:rsidRPr="004D7BD3" w:rsidRDefault="004D7BD3" w:rsidP="002A175E">
            <w:pP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PPP, constant, per capita</w:t>
            </w:r>
          </w:p>
        </w:tc>
        <w:tc>
          <w:tcPr>
            <w:tcW w:w="0" w:type="auto"/>
            <w:tcBorders>
              <w:top w:val="single" w:sz="4" w:space="0" w:color="auto"/>
              <w:left w:val="single" w:sz="4" w:space="0" w:color="auto"/>
              <w:bottom w:val="single" w:sz="4" w:space="0" w:color="auto"/>
              <w:right w:val="single" w:sz="4" w:space="0" w:color="auto"/>
            </w:tcBorders>
            <w:vAlign w:val="center"/>
          </w:tcPr>
          <w:p w14:paraId="42FC001A" w14:textId="77777777" w:rsidR="004D7BD3" w:rsidRPr="004D7BD3" w:rsidRDefault="004D7BD3" w:rsidP="002A175E">
            <w:pP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EuroStat 2013 edition</w:t>
            </w:r>
          </w:p>
        </w:tc>
      </w:tr>
      <w:tr w:rsidR="004D7BD3" w:rsidRPr="006D4E7A" w14:paraId="28873BDC" w14:textId="77777777" w:rsidTr="004D7BD3">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B73F0" w14:textId="77777777" w:rsidR="004D7BD3" w:rsidRPr="004D7BD3" w:rsidRDefault="004D7BD3" w:rsidP="002A175E">
            <w:pP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Annual change in tax revenue</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7AA8"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-0.052</w:t>
            </w:r>
          </w:p>
          <w:p w14:paraId="23DD48EA"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(23.59)</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2F03A"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-391.83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DC40"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3C74C4"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402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86429"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27</w:t>
            </w:r>
          </w:p>
        </w:tc>
        <w:tc>
          <w:tcPr>
            <w:tcW w:w="0" w:type="auto"/>
            <w:tcBorders>
              <w:top w:val="single" w:sz="4" w:space="0" w:color="auto"/>
              <w:left w:val="single" w:sz="4" w:space="0" w:color="auto"/>
              <w:bottom w:val="single" w:sz="4" w:space="0" w:color="auto"/>
              <w:right w:val="single" w:sz="4" w:space="0" w:color="auto"/>
            </w:tcBorders>
            <w:vAlign w:val="center"/>
          </w:tcPr>
          <w:p w14:paraId="68075488"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PPP, constant, per capita</w:t>
            </w:r>
          </w:p>
        </w:tc>
        <w:tc>
          <w:tcPr>
            <w:tcW w:w="0" w:type="auto"/>
            <w:tcBorders>
              <w:top w:val="single" w:sz="4" w:space="0" w:color="auto"/>
              <w:left w:val="single" w:sz="4" w:space="0" w:color="auto"/>
              <w:bottom w:val="single" w:sz="4" w:space="0" w:color="auto"/>
              <w:right w:val="single" w:sz="4" w:space="0" w:color="auto"/>
            </w:tcBorders>
            <w:vAlign w:val="center"/>
          </w:tcPr>
          <w:p w14:paraId="7C42C4DD"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EuroStat 2013 edition</w:t>
            </w:r>
          </w:p>
        </w:tc>
      </w:tr>
      <w:tr w:rsidR="004D7BD3" w:rsidRPr="006D4E7A" w14:paraId="25065408" w14:textId="77777777" w:rsidTr="004D7BD3">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03E36" w14:textId="77777777" w:rsidR="004D7BD3" w:rsidRPr="004D7BD3" w:rsidRDefault="004D7BD3" w:rsidP="002A175E">
            <w:pP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Level of public debt</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8EE8"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51.48%</w:t>
            </w:r>
          </w:p>
          <w:p w14:paraId="3C8A4CB3"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(29.47)</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D3098"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DE839"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170.6%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32A49B"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457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1963E"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27</w:t>
            </w:r>
          </w:p>
        </w:tc>
        <w:tc>
          <w:tcPr>
            <w:tcW w:w="0" w:type="auto"/>
            <w:tcBorders>
              <w:top w:val="single" w:sz="4" w:space="0" w:color="auto"/>
              <w:left w:val="single" w:sz="4" w:space="0" w:color="auto"/>
              <w:bottom w:val="single" w:sz="4" w:space="0" w:color="auto"/>
              <w:right w:val="single" w:sz="4" w:space="0" w:color="auto"/>
            </w:tcBorders>
            <w:vAlign w:val="center"/>
          </w:tcPr>
          <w:p w14:paraId="7D4D8A62"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 of GDP</w:t>
            </w:r>
          </w:p>
        </w:tc>
        <w:tc>
          <w:tcPr>
            <w:tcW w:w="0" w:type="auto"/>
            <w:tcBorders>
              <w:top w:val="single" w:sz="4" w:space="0" w:color="auto"/>
              <w:left w:val="single" w:sz="4" w:space="0" w:color="auto"/>
              <w:bottom w:val="single" w:sz="4" w:space="0" w:color="auto"/>
              <w:right w:val="single" w:sz="4" w:space="0" w:color="auto"/>
            </w:tcBorders>
            <w:vAlign w:val="center"/>
          </w:tcPr>
          <w:p w14:paraId="22C2C4D8"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EuroStat 2013 edition</w:t>
            </w:r>
          </w:p>
        </w:tc>
      </w:tr>
      <w:tr w:rsidR="004D7BD3" w:rsidRPr="006D4E7A" w14:paraId="16247B54" w14:textId="77777777" w:rsidTr="004D7BD3">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28E45" w14:textId="77777777" w:rsidR="004D7BD3" w:rsidRPr="004D7BD3" w:rsidRDefault="004D7BD3" w:rsidP="002A175E">
            <w:pP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Austerity</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E553"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0.33</w:t>
            </w:r>
          </w:p>
          <w:p w14:paraId="60728F85"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(0.48)</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D096"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DA37"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CE5402"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471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9BD60"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27</w:t>
            </w:r>
          </w:p>
        </w:tc>
        <w:tc>
          <w:tcPr>
            <w:tcW w:w="0" w:type="auto"/>
            <w:tcBorders>
              <w:top w:val="single" w:sz="4" w:space="0" w:color="auto"/>
              <w:left w:val="single" w:sz="4" w:space="0" w:color="auto"/>
              <w:bottom w:val="single" w:sz="4" w:space="0" w:color="auto"/>
              <w:right w:val="single" w:sz="4" w:space="0" w:color="auto"/>
            </w:tcBorders>
            <w:vAlign w:val="center"/>
          </w:tcPr>
          <w:p w14:paraId="5462CDE3"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1 = annual change in government spending &lt; 0</w:t>
            </w:r>
          </w:p>
        </w:tc>
        <w:tc>
          <w:tcPr>
            <w:tcW w:w="0" w:type="auto"/>
            <w:tcBorders>
              <w:top w:val="single" w:sz="4" w:space="0" w:color="auto"/>
              <w:left w:val="single" w:sz="4" w:space="0" w:color="auto"/>
              <w:bottom w:val="single" w:sz="4" w:space="0" w:color="auto"/>
              <w:right w:val="single" w:sz="4" w:space="0" w:color="auto"/>
            </w:tcBorders>
            <w:vAlign w:val="center"/>
          </w:tcPr>
          <w:p w14:paraId="6D815847"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EuroStat 2013 edition</w:t>
            </w:r>
          </w:p>
        </w:tc>
      </w:tr>
      <w:tr w:rsidR="004D7BD3" w:rsidRPr="006D4E7A" w14:paraId="68D3D2FC" w14:textId="77777777" w:rsidTr="004D7BD3">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0FC6" w14:textId="77777777" w:rsidR="004D7BD3" w:rsidRPr="004D7BD3" w:rsidRDefault="004D7BD3" w:rsidP="002A175E">
            <w:pPr>
              <w:rPr>
                <w:rFonts w:ascii="Times New Roman" w:eastAsia="Times New Roman" w:hAnsi="Times New Roman" w:cs="Times New Roman"/>
                <w:szCs w:val="24"/>
                <w:lang w:val="en-GB" w:eastAsia="en-GB" w:bidi="ar-SA"/>
              </w:rPr>
            </w:pPr>
            <w:r w:rsidRPr="002F3B34">
              <w:rPr>
                <w:rFonts w:ascii="Times New Roman" w:eastAsia="Times New Roman" w:hAnsi="Times New Roman" w:cs="Times New Roman"/>
                <w:szCs w:val="24"/>
                <w:lang w:val="en-GB" w:eastAsia="en-GB" w:bidi="ar-SA"/>
              </w:rPr>
              <w:t>IMF: Stand-by Arrangements (SBA) or Extended Fund Facilities (EFF)ˆ</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5D2A1"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0.12</w:t>
            </w:r>
          </w:p>
          <w:p w14:paraId="363E5111"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(0.32)</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8C635"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8883D"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AF73B5"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486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6E801"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27</w:t>
            </w:r>
          </w:p>
        </w:tc>
        <w:tc>
          <w:tcPr>
            <w:tcW w:w="0" w:type="auto"/>
            <w:tcBorders>
              <w:top w:val="single" w:sz="4" w:space="0" w:color="auto"/>
              <w:left w:val="single" w:sz="4" w:space="0" w:color="auto"/>
              <w:bottom w:val="single" w:sz="4" w:space="0" w:color="auto"/>
              <w:right w:val="single" w:sz="4" w:space="0" w:color="auto"/>
            </w:tcBorders>
            <w:vAlign w:val="center"/>
          </w:tcPr>
          <w:p w14:paraId="282F54F1"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1 = SBA or EFF active.</w:t>
            </w:r>
          </w:p>
        </w:tc>
        <w:tc>
          <w:tcPr>
            <w:tcW w:w="0" w:type="auto"/>
            <w:tcBorders>
              <w:top w:val="single" w:sz="4" w:space="0" w:color="auto"/>
              <w:left w:val="single" w:sz="4" w:space="0" w:color="auto"/>
              <w:bottom w:val="single" w:sz="4" w:space="0" w:color="auto"/>
              <w:right w:val="single" w:sz="4" w:space="0" w:color="auto"/>
            </w:tcBorders>
            <w:vAlign w:val="center"/>
          </w:tcPr>
          <w:p w14:paraId="3ADA6EA7"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IMF’s Monitoring of Fund Arrangements database (MONA)</w:t>
            </w:r>
          </w:p>
        </w:tc>
      </w:tr>
      <w:tr w:rsidR="004D7BD3" w:rsidRPr="006D4E7A" w14:paraId="0119E656" w14:textId="77777777" w:rsidTr="004D7BD3">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F0FB" w14:textId="77777777" w:rsidR="004D7BD3" w:rsidRPr="004D7BD3" w:rsidRDefault="004D7BD3" w:rsidP="002A175E">
            <w:pPr>
              <w:rPr>
                <w:rFonts w:ascii="Times New Roman" w:eastAsia="Times New Roman" w:hAnsi="Times New Roman" w:cs="Times New Roman"/>
                <w:szCs w:val="24"/>
                <w:lang w:val="en-GB" w:eastAsia="en-GB" w:bidi="ar-SA"/>
              </w:rPr>
            </w:pPr>
            <w:r w:rsidRPr="00A04F75">
              <w:rPr>
                <w:rFonts w:ascii="Times New Roman" w:eastAsia="Times New Roman" w:hAnsi="Times New Roman" w:cs="Times New Roman"/>
                <w:szCs w:val="24"/>
                <w:lang w:val="en-GB" w:eastAsia="en-GB" w:bidi="ar-SA"/>
              </w:rPr>
              <w:t>Left</w:t>
            </w:r>
            <w:r>
              <w:rPr>
                <w:rFonts w:ascii="Times New Roman" w:eastAsia="Times New Roman" w:hAnsi="Times New Roman" w:cs="Times New Roman"/>
                <w:szCs w:val="24"/>
                <w:lang w:val="en-GB" w:eastAsia="en-GB" w:bidi="ar-SA"/>
              </w:rPr>
              <w:t xml:space="preserve"> governing party</w:t>
            </w:r>
            <w:r w:rsidRPr="00A04F75">
              <w:rPr>
                <w:rFonts w:ascii="Times New Roman" w:eastAsia="Times New Roman" w:hAnsi="Times New Roman" w:cs="Times New Roman"/>
                <w:szCs w:val="24"/>
                <w:lang w:val="en-GB" w:eastAsia="en-GB" w:bidi="ar-SA"/>
              </w:rPr>
              <w:t>ˇ</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68215"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0.42</w:t>
            </w:r>
          </w:p>
          <w:p w14:paraId="2C09429C"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(0.49)</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D327C"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6BAC0"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8753C1"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424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504A2"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22</w:t>
            </w:r>
          </w:p>
        </w:tc>
        <w:tc>
          <w:tcPr>
            <w:tcW w:w="0" w:type="auto"/>
            <w:tcBorders>
              <w:top w:val="single" w:sz="4" w:space="0" w:color="auto"/>
              <w:left w:val="single" w:sz="4" w:space="0" w:color="auto"/>
              <w:bottom w:val="single" w:sz="4" w:space="0" w:color="auto"/>
              <w:right w:val="single" w:sz="4" w:space="0" w:color="auto"/>
            </w:tcBorders>
            <w:vAlign w:val="center"/>
          </w:tcPr>
          <w:p w14:paraId="5EAF7585"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1 = economic ideology of governing party is left-orientated</w:t>
            </w:r>
          </w:p>
        </w:tc>
        <w:tc>
          <w:tcPr>
            <w:tcW w:w="0" w:type="auto"/>
            <w:tcBorders>
              <w:top w:val="single" w:sz="4" w:space="0" w:color="auto"/>
              <w:left w:val="single" w:sz="4" w:space="0" w:color="auto"/>
              <w:bottom w:val="single" w:sz="4" w:space="0" w:color="auto"/>
              <w:right w:val="single" w:sz="4" w:space="0" w:color="auto"/>
            </w:tcBorders>
            <w:vAlign w:val="center"/>
          </w:tcPr>
          <w:p w14:paraId="0C3C51C7"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World Bank Political Institutions database</w:t>
            </w:r>
          </w:p>
        </w:tc>
      </w:tr>
      <w:tr w:rsidR="004D7BD3" w:rsidRPr="006D4E7A" w14:paraId="5AC37EDA" w14:textId="77777777" w:rsidTr="004D7BD3">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616B5" w14:textId="77777777" w:rsidR="004D7BD3" w:rsidRPr="004D7BD3" w:rsidRDefault="004D7BD3" w:rsidP="002A175E">
            <w:pPr>
              <w:rPr>
                <w:rFonts w:ascii="Times New Roman" w:eastAsia="Times New Roman" w:hAnsi="Times New Roman" w:cs="Times New Roman"/>
                <w:szCs w:val="24"/>
                <w:lang w:val="en-GB" w:eastAsia="en-GB" w:bidi="ar-SA"/>
              </w:rPr>
            </w:pPr>
            <w:r w:rsidRPr="00A04F75">
              <w:rPr>
                <w:rFonts w:ascii="Times New Roman" w:eastAsia="Times New Roman" w:hAnsi="Times New Roman" w:cs="Times New Roman"/>
                <w:szCs w:val="24"/>
                <w:lang w:val="en-GB" w:eastAsia="en-GB" w:bidi="ar-SA"/>
              </w:rPr>
              <w:t>Right</w:t>
            </w:r>
            <w:r>
              <w:rPr>
                <w:rFonts w:ascii="Times New Roman" w:eastAsia="Times New Roman" w:hAnsi="Times New Roman" w:cs="Times New Roman"/>
                <w:szCs w:val="24"/>
                <w:lang w:val="en-GB" w:eastAsia="en-GB" w:bidi="ar-SA"/>
              </w:rPr>
              <w:t xml:space="preserve"> governing party</w:t>
            </w:r>
            <w:r w:rsidRPr="00A04F75">
              <w:rPr>
                <w:rFonts w:ascii="Times New Roman" w:eastAsia="Times New Roman" w:hAnsi="Times New Roman" w:cs="Times New Roman"/>
                <w:szCs w:val="24"/>
                <w:lang w:val="en-GB" w:eastAsia="en-GB" w:bidi="ar-SA"/>
              </w:rPr>
              <w:t>ˇ</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F0B3"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0.43</w:t>
            </w:r>
          </w:p>
          <w:p w14:paraId="523BEB40"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(0.50)</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CE97D"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6482F"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1C22DF"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424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78CA" w14:textId="77777777" w:rsidR="004D7BD3" w:rsidRPr="004D7BD3" w:rsidRDefault="004D7BD3" w:rsidP="00A84EB0">
            <w:pPr>
              <w:jc w:val="cente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22</w:t>
            </w:r>
          </w:p>
        </w:tc>
        <w:tc>
          <w:tcPr>
            <w:tcW w:w="0" w:type="auto"/>
            <w:tcBorders>
              <w:top w:val="single" w:sz="4" w:space="0" w:color="auto"/>
              <w:left w:val="single" w:sz="4" w:space="0" w:color="auto"/>
              <w:bottom w:val="single" w:sz="4" w:space="0" w:color="auto"/>
              <w:right w:val="single" w:sz="4" w:space="0" w:color="auto"/>
            </w:tcBorders>
            <w:vAlign w:val="center"/>
          </w:tcPr>
          <w:p w14:paraId="3E90A491"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1 = economic ideology of governing party is right-orientated</w:t>
            </w:r>
          </w:p>
        </w:tc>
        <w:tc>
          <w:tcPr>
            <w:tcW w:w="0" w:type="auto"/>
            <w:tcBorders>
              <w:top w:val="single" w:sz="4" w:space="0" w:color="auto"/>
              <w:left w:val="single" w:sz="4" w:space="0" w:color="auto"/>
              <w:bottom w:val="single" w:sz="4" w:space="0" w:color="auto"/>
              <w:right w:val="single" w:sz="4" w:space="0" w:color="auto"/>
            </w:tcBorders>
            <w:vAlign w:val="center"/>
          </w:tcPr>
          <w:p w14:paraId="4E061795" w14:textId="77777777" w:rsidR="004D7BD3" w:rsidRPr="004D7BD3" w:rsidRDefault="004D7BD3" w:rsidP="002A175E">
            <w:pPr>
              <w:rPr>
                <w:rFonts w:ascii="Times New Roman" w:eastAsia="Times New Roman" w:hAnsi="Times New Roman" w:cs="Times New Roman"/>
                <w:szCs w:val="24"/>
                <w:lang w:val="en-GB" w:eastAsia="en-GB" w:bidi="ar-SA"/>
              </w:rPr>
            </w:pPr>
            <w:r w:rsidRPr="004D7BD3">
              <w:rPr>
                <w:rFonts w:ascii="Times New Roman" w:eastAsia="Times New Roman" w:hAnsi="Times New Roman" w:cs="Times New Roman"/>
                <w:szCs w:val="24"/>
                <w:lang w:val="en-GB" w:eastAsia="en-GB" w:bidi="ar-SA"/>
              </w:rPr>
              <w:t>World Bank Political Institutions database</w:t>
            </w:r>
          </w:p>
        </w:tc>
      </w:tr>
    </w:tbl>
    <w:p w14:paraId="18E6553A" w14:textId="77777777" w:rsidR="004D7BD3" w:rsidRDefault="004D7BD3" w:rsidP="006D3D69">
      <w:pPr>
        <w:rPr>
          <w:rFonts w:ascii="Times New Roman" w:hAnsi="Times New Roman" w:cs="Times New Roman"/>
          <w:i/>
          <w:sz w:val="20"/>
          <w:szCs w:val="20"/>
        </w:rPr>
      </w:pPr>
      <w:r>
        <w:rPr>
          <w:rFonts w:ascii="Times New Roman" w:hAnsi="Times New Roman" w:cs="Times New Roman"/>
          <w:i/>
          <w:sz w:val="20"/>
          <w:szCs w:val="20"/>
        </w:rPr>
        <w:t xml:space="preserve">Notes: </w:t>
      </w:r>
    </w:p>
    <w:p w14:paraId="5760585A" w14:textId="77777777" w:rsidR="006D3D69" w:rsidRPr="006D3D69" w:rsidRDefault="0063332C" w:rsidP="006D3D69">
      <w:pPr>
        <w:rPr>
          <w:rFonts w:ascii="Times New Roman" w:hAnsi="Times New Roman" w:cs="Times New Roman"/>
          <w:sz w:val="20"/>
          <w:szCs w:val="20"/>
        </w:rPr>
      </w:pPr>
      <w:r w:rsidRPr="002F3B34">
        <w:rPr>
          <w:rFonts w:ascii="Times New Roman" w:hAnsi="Times New Roman" w:cs="Times New Roman"/>
          <w:sz w:val="20"/>
          <w:szCs w:val="20"/>
        </w:rPr>
        <w:t xml:space="preserve">ˆ </w:t>
      </w:r>
      <w:r w:rsidR="00D87CF5" w:rsidRPr="002F3B34">
        <w:rPr>
          <w:rFonts w:ascii="Times New Roman" w:hAnsi="Times New Roman" w:cs="Times New Roman"/>
          <w:sz w:val="20"/>
          <w:szCs w:val="20"/>
        </w:rPr>
        <w:t>IMF bailouts include Stand-by Arrangements, usually short-term lending</w:t>
      </w:r>
      <w:r w:rsidR="006D3D69" w:rsidRPr="006D3D69">
        <w:rPr>
          <w:rFonts w:ascii="Times New Roman" w:hAnsi="Times New Roman" w:cs="Times New Roman"/>
          <w:sz w:val="20"/>
          <w:szCs w:val="20"/>
        </w:rPr>
        <w:t xml:space="preserve"> to states to cover the effect of unanticipated shocks</w:t>
      </w:r>
      <w:r w:rsidR="00D87CF5" w:rsidRPr="002F3B34">
        <w:rPr>
          <w:rFonts w:ascii="Times New Roman" w:hAnsi="Times New Roman" w:cs="Times New Roman"/>
          <w:sz w:val="20"/>
          <w:szCs w:val="20"/>
        </w:rPr>
        <w:t xml:space="preserve">, and Extended Fund Facilities, which are usually medium- or long-term lending programmes aimed at overcoming </w:t>
      </w:r>
      <w:r w:rsidR="006D3D69" w:rsidRPr="006D3D69">
        <w:rPr>
          <w:rFonts w:ascii="Times New Roman" w:hAnsi="Times New Roman" w:cs="Times New Roman"/>
          <w:sz w:val="20"/>
          <w:szCs w:val="20"/>
        </w:rPr>
        <w:t xml:space="preserve">weaknesses in the national economy which may have precipitated or exacerbated the shock.   </w:t>
      </w:r>
    </w:p>
    <w:p w14:paraId="262A5D13" w14:textId="77777777" w:rsidR="00D87CF5" w:rsidRPr="002F3B34" w:rsidRDefault="00A04F75">
      <w:pPr>
        <w:rPr>
          <w:rFonts w:ascii="Times New Roman" w:hAnsi="Times New Roman" w:cs="Times New Roman"/>
          <w:sz w:val="20"/>
          <w:szCs w:val="20"/>
        </w:rPr>
      </w:pPr>
      <w:r>
        <w:rPr>
          <w:rFonts w:ascii="Times New Roman" w:hAnsi="Times New Roman" w:cs="Times New Roman"/>
          <w:sz w:val="20"/>
          <w:szCs w:val="20"/>
        </w:rPr>
        <w:t>IMF becomes</w:t>
      </w:r>
      <w:r w:rsidR="00D87CF5" w:rsidRPr="002F3B34">
        <w:rPr>
          <w:rFonts w:ascii="Times New Roman" w:hAnsi="Times New Roman" w:cs="Times New Roman"/>
          <w:sz w:val="20"/>
          <w:szCs w:val="20"/>
        </w:rPr>
        <w:t xml:space="preserve"> 1 the year after the agreement has been made.  This reflects the time lag between the loan and the implementation of any</w:t>
      </w:r>
      <w:r w:rsidR="0063332C" w:rsidRPr="002F3B34">
        <w:rPr>
          <w:rFonts w:ascii="Times New Roman" w:hAnsi="Times New Roman" w:cs="Times New Roman"/>
          <w:sz w:val="20"/>
          <w:szCs w:val="20"/>
        </w:rPr>
        <w:t xml:space="preserve"> changes to government spending, i.e., if an agreement was made in 2008 the variable would measure 1 in 2009 and remain 1 while the bailout is active.</w:t>
      </w:r>
      <w:r>
        <w:rPr>
          <w:rFonts w:ascii="Times New Roman" w:hAnsi="Times New Roman" w:cs="Times New Roman"/>
          <w:sz w:val="20"/>
          <w:szCs w:val="20"/>
        </w:rPr>
        <w:t xml:space="preserve"> When the agreement ends the indicator becomes 0.</w:t>
      </w:r>
    </w:p>
    <w:p w14:paraId="4241565A" w14:textId="77777777" w:rsidR="001317F7" w:rsidRPr="00A04F75" w:rsidRDefault="00A009B8">
      <w:pPr>
        <w:rPr>
          <w:rFonts w:ascii="Times New Roman" w:hAnsi="Times New Roman" w:cs="Times New Roman"/>
          <w:sz w:val="20"/>
          <w:szCs w:val="20"/>
        </w:rPr>
      </w:pPr>
      <w:r w:rsidRPr="002F3B34">
        <w:rPr>
          <w:rFonts w:ascii="Times New Roman" w:hAnsi="Times New Roman" w:cs="Times New Roman"/>
          <w:sz w:val="20"/>
          <w:szCs w:val="20"/>
        </w:rPr>
        <w:t>ˇOrientation toward the economy is derived from party manifestos and other publicly available documentation.  For coalition governments, the coding is defined by the leading party within the coalition. Missing countries-years for Political Institutions include the following: Bulgaria (1995-6, 2002-9), Czech Republic (2007-2011), Estonia (2002-2011), Lithuania (1998-2011), Poland (1995), Romania (1995-6, 2005-2011), Slovak Republic (1999-2006).</w:t>
      </w:r>
      <w:r w:rsidR="001317F7" w:rsidRPr="00A04F75">
        <w:rPr>
          <w:rFonts w:ascii="Times New Roman" w:hAnsi="Times New Roman" w:cs="Times New Roman"/>
          <w:sz w:val="20"/>
          <w:szCs w:val="20"/>
        </w:rPr>
        <w:br w:type="page"/>
      </w:r>
    </w:p>
    <w:p w14:paraId="5F9A9A3A" w14:textId="77777777" w:rsidR="00BE348E" w:rsidRDefault="005B555D" w:rsidP="00BE348E">
      <w:pPr>
        <w:rPr>
          <w:rFonts w:ascii="Times New Roman" w:hAnsi="Times New Roman" w:cs="Times New Roman"/>
          <w:szCs w:val="24"/>
        </w:rPr>
      </w:pPr>
      <w:r w:rsidRPr="002F3B34">
        <w:rPr>
          <w:rFonts w:ascii="Times New Roman" w:hAnsi="Times New Roman" w:cs="Times New Roman"/>
          <w:szCs w:val="24"/>
        </w:rPr>
        <w:t xml:space="preserve">Web Appendix 3: </w:t>
      </w:r>
      <w:r w:rsidR="0002330C" w:rsidRPr="0002330C">
        <w:rPr>
          <w:rFonts w:ascii="Times New Roman" w:hAnsi="Times New Roman" w:cs="Times New Roman"/>
          <w:szCs w:val="24"/>
        </w:rPr>
        <w:t>Logistic</w:t>
      </w:r>
      <w:r w:rsidRPr="002F3B34">
        <w:rPr>
          <w:rFonts w:ascii="Times New Roman" w:hAnsi="Times New Roman" w:cs="Times New Roman"/>
          <w:szCs w:val="24"/>
        </w:rPr>
        <w:t xml:space="preserve"> regression of healthcare austerity controlling for economic and political determinants, 27 EU countries, 1995-2011</w:t>
      </w:r>
    </w:p>
    <w:tbl>
      <w:tblPr>
        <w:tblW w:w="0" w:type="auto"/>
        <w:tblLayout w:type="fixed"/>
        <w:tblLook w:val="0000" w:firstRow="0" w:lastRow="0" w:firstColumn="0" w:lastColumn="0" w:noHBand="0" w:noVBand="0"/>
      </w:tblPr>
      <w:tblGrid>
        <w:gridCol w:w="6912"/>
        <w:gridCol w:w="1276"/>
        <w:gridCol w:w="1134"/>
        <w:gridCol w:w="1134"/>
        <w:gridCol w:w="1276"/>
        <w:gridCol w:w="1276"/>
        <w:gridCol w:w="1166"/>
      </w:tblGrid>
      <w:tr w:rsidR="00D00AB1" w:rsidRPr="00A04F75" w14:paraId="4BCFF9B0" w14:textId="77777777" w:rsidTr="002A175E">
        <w:tc>
          <w:tcPr>
            <w:tcW w:w="6912" w:type="dxa"/>
            <w:tcBorders>
              <w:top w:val="single" w:sz="4" w:space="0" w:color="auto"/>
              <w:left w:val="nil"/>
              <w:right w:val="nil"/>
            </w:tcBorders>
          </w:tcPr>
          <w:p w14:paraId="491B939D" w14:textId="77777777" w:rsidR="00D00AB1" w:rsidRPr="00A04F75" w:rsidRDefault="00D00AB1" w:rsidP="002A175E">
            <w:pPr>
              <w:rPr>
                <w:rFonts w:ascii="Times New Roman" w:hAnsi="Times New Roman" w:cs="Times New Roman"/>
                <w:szCs w:val="24"/>
              </w:rPr>
            </w:pPr>
          </w:p>
        </w:tc>
        <w:tc>
          <w:tcPr>
            <w:tcW w:w="7262" w:type="dxa"/>
            <w:gridSpan w:val="6"/>
            <w:tcBorders>
              <w:top w:val="single" w:sz="4" w:space="0" w:color="auto"/>
              <w:left w:val="nil"/>
              <w:right w:val="nil"/>
            </w:tcBorders>
          </w:tcPr>
          <w:p w14:paraId="41FAC121"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A</w:t>
            </w:r>
            <w:r w:rsidRPr="00A14A34">
              <w:rPr>
                <w:rFonts w:ascii="Times New Roman" w:hAnsi="Times New Roman" w:cs="Times New Roman"/>
                <w:szCs w:val="24"/>
              </w:rPr>
              <w:t>nnual change in health spending</w:t>
            </w:r>
            <w:r w:rsidRPr="00A04F75">
              <w:rPr>
                <w:rFonts w:ascii="Times New Roman" w:hAnsi="Times New Roman" w:cs="Times New Roman"/>
                <w:szCs w:val="24"/>
              </w:rPr>
              <w:t xml:space="preserve"> &lt;0 = 1</w:t>
            </w:r>
            <w:r w:rsidRPr="00652675">
              <w:rPr>
                <w:rFonts w:ascii="Times New Roman" w:hAnsi="Times New Roman" w:cs="Times New Roman"/>
                <w:szCs w:val="24"/>
                <w:vertAlign w:val="superscript"/>
              </w:rPr>
              <w:t>†</w:t>
            </w:r>
          </w:p>
        </w:tc>
      </w:tr>
      <w:tr w:rsidR="00D00AB1" w:rsidRPr="00A04F75" w14:paraId="0F9ECA02" w14:textId="77777777" w:rsidTr="002A175E">
        <w:tc>
          <w:tcPr>
            <w:tcW w:w="6912" w:type="dxa"/>
            <w:tcBorders>
              <w:left w:val="nil"/>
              <w:bottom w:val="nil"/>
              <w:right w:val="nil"/>
            </w:tcBorders>
          </w:tcPr>
          <w:p w14:paraId="04AAA198" w14:textId="77777777" w:rsidR="00D00AB1" w:rsidRPr="00A04F75" w:rsidRDefault="00D00AB1" w:rsidP="002A175E">
            <w:pPr>
              <w:rPr>
                <w:rFonts w:ascii="Times New Roman" w:hAnsi="Times New Roman" w:cs="Times New Roman"/>
                <w:szCs w:val="24"/>
              </w:rPr>
            </w:pPr>
            <w:r w:rsidRPr="00A14A34">
              <w:rPr>
                <w:rFonts w:ascii="Times New Roman" w:hAnsi="Times New Roman" w:cs="Times New Roman"/>
                <w:szCs w:val="24"/>
              </w:rPr>
              <w:t>Covariates</w:t>
            </w:r>
          </w:p>
        </w:tc>
        <w:tc>
          <w:tcPr>
            <w:tcW w:w="1276" w:type="dxa"/>
            <w:tcBorders>
              <w:left w:val="nil"/>
              <w:bottom w:val="nil"/>
              <w:right w:val="nil"/>
            </w:tcBorders>
          </w:tcPr>
          <w:p w14:paraId="2105F0BA"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(1)</w:t>
            </w:r>
          </w:p>
        </w:tc>
        <w:tc>
          <w:tcPr>
            <w:tcW w:w="1134" w:type="dxa"/>
            <w:tcBorders>
              <w:left w:val="nil"/>
              <w:bottom w:val="nil"/>
              <w:right w:val="nil"/>
            </w:tcBorders>
          </w:tcPr>
          <w:p w14:paraId="7BF0E55C"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(2)</w:t>
            </w:r>
          </w:p>
        </w:tc>
        <w:tc>
          <w:tcPr>
            <w:tcW w:w="1134" w:type="dxa"/>
            <w:tcBorders>
              <w:left w:val="nil"/>
              <w:bottom w:val="nil"/>
              <w:right w:val="nil"/>
            </w:tcBorders>
          </w:tcPr>
          <w:p w14:paraId="639BF9CC"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(3)</w:t>
            </w:r>
          </w:p>
        </w:tc>
        <w:tc>
          <w:tcPr>
            <w:tcW w:w="1276" w:type="dxa"/>
            <w:tcBorders>
              <w:left w:val="nil"/>
              <w:bottom w:val="nil"/>
              <w:right w:val="nil"/>
            </w:tcBorders>
          </w:tcPr>
          <w:p w14:paraId="71CAFF37"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(4)</w:t>
            </w:r>
          </w:p>
        </w:tc>
        <w:tc>
          <w:tcPr>
            <w:tcW w:w="1276" w:type="dxa"/>
            <w:tcBorders>
              <w:left w:val="nil"/>
              <w:bottom w:val="nil"/>
              <w:right w:val="nil"/>
            </w:tcBorders>
          </w:tcPr>
          <w:p w14:paraId="13ADE7B4"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(5)</w:t>
            </w:r>
          </w:p>
        </w:tc>
        <w:tc>
          <w:tcPr>
            <w:tcW w:w="1166" w:type="dxa"/>
            <w:tcBorders>
              <w:left w:val="nil"/>
              <w:bottom w:val="nil"/>
              <w:right w:val="nil"/>
            </w:tcBorders>
          </w:tcPr>
          <w:p w14:paraId="119EAEA6"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(6)</w:t>
            </w:r>
          </w:p>
        </w:tc>
      </w:tr>
      <w:tr w:rsidR="00D00AB1" w:rsidRPr="00A04F75" w14:paraId="695FBD01" w14:textId="77777777" w:rsidTr="002A175E">
        <w:tc>
          <w:tcPr>
            <w:tcW w:w="6912" w:type="dxa"/>
            <w:vMerge w:val="restart"/>
            <w:tcBorders>
              <w:top w:val="single" w:sz="4" w:space="0" w:color="auto"/>
              <w:left w:val="nil"/>
              <w:right w:val="nil"/>
            </w:tcBorders>
          </w:tcPr>
          <w:p w14:paraId="59B86EF0" w14:textId="77777777" w:rsidR="00D00AB1" w:rsidRPr="00A04F75" w:rsidRDefault="00D00AB1" w:rsidP="002A175E">
            <w:pPr>
              <w:rPr>
                <w:rFonts w:ascii="Times New Roman" w:hAnsi="Times New Roman" w:cs="Times New Roman"/>
                <w:szCs w:val="24"/>
              </w:rPr>
            </w:pPr>
            <w:r w:rsidRPr="00A04F75">
              <w:rPr>
                <w:rFonts w:ascii="Times New Roman" w:hAnsi="Times New Roman" w:cs="Times New Roman"/>
                <w:szCs w:val="24"/>
              </w:rPr>
              <w:t>$10 annual increase in GDP</w:t>
            </w:r>
            <w:r w:rsidRPr="00E26417">
              <w:rPr>
                <w:rFonts w:ascii="Times New Roman" w:hAnsi="Times New Roman" w:cs="Times New Roman"/>
                <w:szCs w:val="24"/>
                <w:vertAlign w:val="superscript"/>
              </w:rPr>
              <w:t>†</w:t>
            </w:r>
            <w:r w:rsidRPr="00A04F75">
              <w:rPr>
                <w:rFonts w:ascii="Times New Roman" w:hAnsi="Times New Roman" w:cs="Times New Roman"/>
                <w:szCs w:val="24"/>
              </w:rPr>
              <w:t xml:space="preserve"> </w:t>
            </w:r>
          </w:p>
        </w:tc>
        <w:tc>
          <w:tcPr>
            <w:tcW w:w="1276" w:type="dxa"/>
            <w:tcBorders>
              <w:top w:val="single" w:sz="4" w:space="0" w:color="auto"/>
              <w:left w:val="nil"/>
              <w:bottom w:val="nil"/>
              <w:right w:val="nil"/>
            </w:tcBorders>
          </w:tcPr>
          <w:p w14:paraId="1384E095"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-0.0079</w:t>
            </w:r>
            <w:r w:rsidRPr="00A04F75">
              <w:rPr>
                <w:rFonts w:ascii="Times New Roman" w:hAnsi="Times New Roman" w:cs="Times New Roman"/>
                <w:szCs w:val="24"/>
                <w:vertAlign w:val="superscript"/>
              </w:rPr>
              <w:t>*</w:t>
            </w:r>
          </w:p>
        </w:tc>
        <w:tc>
          <w:tcPr>
            <w:tcW w:w="1134" w:type="dxa"/>
            <w:tcBorders>
              <w:top w:val="single" w:sz="4" w:space="0" w:color="auto"/>
              <w:left w:val="nil"/>
              <w:bottom w:val="nil"/>
              <w:right w:val="nil"/>
            </w:tcBorders>
          </w:tcPr>
          <w:p w14:paraId="6BA85D1D"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-0.0070</w:t>
            </w:r>
            <w:r w:rsidRPr="00A04F75">
              <w:rPr>
                <w:rFonts w:ascii="Times New Roman" w:hAnsi="Times New Roman" w:cs="Times New Roman"/>
                <w:szCs w:val="24"/>
                <w:vertAlign w:val="superscript"/>
              </w:rPr>
              <w:t>*</w:t>
            </w:r>
          </w:p>
        </w:tc>
        <w:tc>
          <w:tcPr>
            <w:tcW w:w="1134" w:type="dxa"/>
            <w:tcBorders>
              <w:top w:val="single" w:sz="4" w:space="0" w:color="auto"/>
              <w:left w:val="nil"/>
              <w:bottom w:val="nil"/>
              <w:right w:val="nil"/>
            </w:tcBorders>
          </w:tcPr>
          <w:p w14:paraId="35090916"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-0.0071</w:t>
            </w:r>
            <w:r w:rsidRPr="00A04F75">
              <w:rPr>
                <w:rFonts w:ascii="Times New Roman" w:hAnsi="Times New Roman" w:cs="Times New Roman"/>
                <w:szCs w:val="24"/>
                <w:vertAlign w:val="superscript"/>
              </w:rPr>
              <w:t>*</w:t>
            </w:r>
          </w:p>
        </w:tc>
        <w:tc>
          <w:tcPr>
            <w:tcW w:w="1276" w:type="dxa"/>
            <w:tcBorders>
              <w:top w:val="single" w:sz="4" w:space="0" w:color="auto"/>
              <w:left w:val="nil"/>
              <w:bottom w:val="nil"/>
              <w:right w:val="nil"/>
            </w:tcBorders>
          </w:tcPr>
          <w:p w14:paraId="36AE6C08"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-0.0050</w:t>
            </w:r>
          </w:p>
        </w:tc>
        <w:tc>
          <w:tcPr>
            <w:tcW w:w="1276" w:type="dxa"/>
            <w:tcBorders>
              <w:top w:val="single" w:sz="4" w:space="0" w:color="auto"/>
              <w:left w:val="nil"/>
              <w:bottom w:val="nil"/>
              <w:right w:val="nil"/>
            </w:tcBorders>
          </w:tcPr>
          <w:p w14:paraId="5C733CFB"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-0.0048</w:t>
            </w:r>
          </w:p>
        </w:tc>
        <w:tc>
          <w:tcPr>
            <w:tcW w:w="1166" w:type="dxa"/>
            <w:tcBorders>
              <w:top w:val="single" w:sz="4" w:space="0" w:color="auto"/>
              <w:left w:val="nil"/>
              <w:bottom w:val="nil"/>
              <w:right w:val="nil"/>
            </w:tcBorders>
          </w:tcPr>
          <w:p w14:paraId="4BF74D5D"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-0.0038</w:t>
            </w:r>
          </w:p>
        </w:tc>
      </w:tr>
      <w:tr w:rsidR="00D00AB1" w:rsidRPr="00A04F75" w14:paraId="65E997F4" w14:textId="77777777" w:rsidTr="002A175E">
        <w:tc>
          <w:tcPr>
            <w:tcW w:w="6912" w:type="dxa"/>
            <w:vMerge/>
            <w:tcBorders>
              <w:left w:val="nil"/>
              <w:right w:val="nil"/>
            </w:tcBorders>
          </w:tcPr>
          <w:p w14:paraId="18E2AF80"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4B7376B3"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(0.0034)</w:t>
            </w:r>
          </w:p>
        </w:tc>
        <w:tc>
          <w:tcPr>
            <w:tcW w:w="1134" w:type="dxa"/>
            <w:tcBorders>
              <w:top w:val="nil"/>
              <w:left w:val="nil"/>
              <w:bottom w:val="nil"/>
              <w:right w:val="nil"/>
            </w:tcBorders>
          </w:tcPr>
          <w:p w14:paraId="279D8985"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(0.0031)</w:t>
            </w:r>
          </w:p>
        </w:tc>
        <w:tc>
          <w:tcPr>
            <w:tcW w:w="1134" w:type="dxa"/>
            <w:tcBorders>
              <w:top w:val="nil"/>
              <w:left w:val="nil"/>
              <w:bottom w:val="nil"/>
              <w:right w:val="nil"/>
            </w:tcBorders>
          </w:tcPr>
          <w:p w14:paraId="61B17AA5"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(0.0032)</w:t>
            </w:r>
          </w:p>
        </w:tc>
        <w:tc>
          <w:tcPr>
            <w:tcW w:w="1276" w:type="dxa"/>
            <w:tcBorders>
              <w:top w:val="nil"/>
              <w:left w:val="nil"/>
              <w:bottom w:val="nil"/>
              <w:right w:val="nil"/>
            </w:tcBorders>
          </w:tcPr>
          <w:p w14:paraId="70BB0925"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(0.0030)</w:t>
            </w:r>
          </w:p>
        </w:tc>
        <w:tc>
          <w:tcPr>
            <w:tcW w:w="1276" w:type="dxa"/>
            <w:tcBorders>
              <w:top w:val="nil"/>
              <w:left w:val="nil"/>
              <w:bottom w:val="nil"/>
              <w:right w:val="nil"/>
            </w:tcBorders>
          </w:tcPr>
          <w:p w14:paraId="525ABE49"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(0.0031)</w:t>
            </w:r>
          </w:p>
        </w:tc>
        <w:tc>
          <w:tcPr>
            <w:tcW w:w="1166" w:type="dxa"/>
            <w:tcBorders>
              <w:top w:val="nil"/>
              <w:left w:val="nil"/>
              <w:bottom w:val="nil"/>
              <w:right w:val="nil"/>
            </w:tcBorders>
          </w:tcPr>
          <w:p w14:paraId="7E42DB72"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(0.0028)</w:t>
            </w:r>
          </w:p>
        </w:tc>
      </w:tr>
      <w:tr w:rsidR="00D00AB1" w:rsidRPr="00A04F75" w14:paraId="0D3B192D" w14:textId="77777777" w:rsidTr="002A175E">
        <w:tc>
          <w:tcPr>
            <w:tcW w:w="6912" w:type="dxa"/>
            <w:vMerge/>
            <w:tcBorders>
              <w:left w:val="nil"/>
              <w:bottom w:val="nil"/>
              <w:right w:val="nil"/>
            </w:tcBorders>
          </w:tcPr>
          <w:p w14:paraId="4D774913"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743B4B25"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21BEC434"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2E79B8D0"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0EB3C6B4"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21DA9147"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590418DF" w14:textId="77777777" w:rsidR="00D00AB1" w:rsidRPr="00A04F75" w:rsidRDefault="00D00AB1" w:rsidP="00A84EB0">
            <w:pPr>
              <w:jc w:val="center"/>
              <w:rPr>
                <w:rFonts w:ascii="Times New Roman" w:hAnsi="Times New Roman" w:cs="Times New Roman"/>
                <w:szCs w:val="24"/>
              </w:rPr>
            </w:pPr>
          </w:p>
        </w:tc>
      </w:tr>
      <w:tr w:rsidR="00D00AB1" w:rsidRPr="00A04F75" w14:paraId="2F3BA13F" w14:textId="77777777" w:rsidTr="002A175E">
        <w:tc>
          <w:tcPr>
            <w:tcW w:w="6912" w:type="dxa"/>
            <w:vMerge w:val="restart"/>
            <w:tcBorders>
              <w:top w:val="nil"/>
              <w:left w:val="nil"/>
              <w:right w:val="nil"/>
            </w:tcBorders>
          </w:tcPr>
          <w:p w14:paraId="2F4197FC" w14:textId="77777777" w:rsidR="00D00AB1" w:rsidRPr="00A04F75" w:rsidRDefault="00D00AB1" w:rsidP="002A175E">
            <w:pPr>
              <w:rPr>
                <w:rFonts w:ascii="Times New Roman" w:hAnsi="Times New Roman" w:cs="Times New Roman"/>
                <w:szCs w:val="24"/>
              </w:rPr>
            </w:pPr>
            <w:r w:rsidRPr="00A04F75">
              <w:rPr>
                <w:rFonts w:ascii="Times New Roman" w:hAnsi="Times New Roman" w:cs="Times New Roman"/>
                <w:szCs w:val="24"/>
              </w:rPr>
              <w:t xml:space="preserve">$100 </w:t>
            </w:r>
            <w:r>
              <w:rPr>
                <w:rFonts w:ascii="Times New Roman" w:hAnsi="Times New Roman" w:cs="Times New Roman"/>
                <w:szCs w:val="24"/>
              </w:rPr>
              <w:t>annual increase in t</w:t>
            </w:r>
            <w:r w:rsidRPr="00A04F75">
              <w:rPr>
                <w:rFonts w:ascii="Times New Roman" w:hAnsi="Times New Roman" w:cs="Times New Roman"/>
                <w:szCs w:val="24"/>
              </w:rPr>
              <w:t>ax revenue</w:t>
            </w:r>
            <w:r w:rsidRPr="00E26417">
              <w:rPr>
                <w:rFonts w:ascii="Times New Roman" w:hAnsi="Times New Roman" w:cs="Times New Roman"/>
                <w:szCs w:val="24"/>
                <w:vertAlign w:val="superscript"/>
              </w:rPr>
              <w:t>†</w:t>
            </w:r>
          </w:p>
        </w:tc>
        <w:tc>
          <w:tcPr>
            <w:tcW w:w="1276" w:type="dxa"/>
            <w:tcBorders>
              <w:top w:val="nil"/>
              <w:left w:val="nil"/>
              <w:bottom w:val="nil"/>
              <w:right w:val="nil"/>
            </w:tcBorders>
          </w:tcPr>
          <w:p w14:paraId="027060B6"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2C3AE881"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-0.099</w:t>
            </w:r>
            <w:r w:rsidRPr="00A04F75">
              <w:rPr>
                <w:rFonts w:ascii="Times New Roman" w:hAnsi="Times New Roman" w:cs="Times New Roman"/>
                <w:szCs w:val="24"/>
                <w:vertAlign w:val="superscript"/>
              </w:rPr>
              <w:t>**</w:t>
            </w:r>
          </w:p>
        </w:tc>
        <w:tc>
          <w:tcPr>
            <w:tcW w:w="1134" w:type="dxa"/>
            <w:tcBorders>
              <w:top w:val="nil"/>
              <w:left w:val="nil"/>
              <w:bottom w:val="nil"/>
              <w:right w:val="nil"/>
            </w:tcBorders>
          </w:tcPr>
          <w:p w14:paraId="6AF67428"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-0.099</w:t>
            </w:r>
            <w:r w:rsidRPr="00A04F75">
              <w:rPr>
                <w:rFonts w:ascii="Times New Roman" w:hAnsi="Times New Roman" w:cs="Times New Roman"/>
                <w:szCs w:val="24"/>
                <w:vertAlign w:val="superscript"/>
              </w:rPr>
              <w:t>**</w:t>
            </w:r>
          </w:p>
        </w:tc>
        <w:tc>
          <w:tcPr>
            <w:tcW w:w="1276" w:type="dxa"/>
            <w:tcBorders>
              <w:top w:val="nil"/>
              <w:left w:val="nil"/>
              <w:bottom w:val="nil"/>
              <w:right w:val="nil"/>
            </w:tcBorders>
          </w:tcPr>
          <w:p w14:paraId="0BD30477"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-0.081</w:t>
            </w:r>
            <w:r w:rsidRPr="00A04F75">
              <w:rPr>
                <w:rFonts w:ascii="Times New Roman" w:hAnsi="Times New Roman" w:cs="Times New Roman"/>
                <w:szCs w:val="24"/>
                <w:vertAlign w:val="superscript"/>
              </w:rPr>
              <w:t>**</w:t>
            </w:r>
          </w:p>
        </w:tc>
        <w:tc>
          <w:tcPr>
            <w:tcW w:w="1276" w:type="dxa"/>
            <w:tcBorders>
              <w:top w:val="nil"/>
              <w:left w:val="nil"/>
              <w:bottom w:val="nil"/>
              <w:right w:val="nil"/>
            </w:tcBorders>
          </w:tcPr>
          <w:p w14:paraId="395F0C4B"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-0.072</w:t>
            </w:r>
            <w:r w:rsidRPr="00A04F75">
              <w:rPr>
                <w:rFonts w:ascii="Times New Roman" w:hAnsi="Times New Roman" w:cs="Times New Roman"/>
                <w:szCs w:val="24"/>
                <w:vertAlign w:val="superscript"/>
              </w:rPr>
              <w:t>**</w:t>
            </w:r>
          </w:p>
        </w:tc>
        <w:tc>
          <w:tcPr>
            <w:tcW w:w="1166" w:type="dxa"/>
            <w:tcBorders>
              <w:top w:val="nil"/>
              <w:left w:val="nil"/>
              <w:bottom w:val="nil"/>
              <w:right w:val="nil"/>
            </w:tcBorders>
          </w:tcPr>
          <w:p w14:paraId="0E676288"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-0.062</w:t>
            </w:r>
            <w:r w:rsidRPr="00A04F75">
              <w:rPr>
                <w:rFonts w:ascii="Times New Roman" w:hAnsi="Times New Roman" w:cs="Times New Roman"/>
                <w:szCs w:val="24"/>
                <w:vertAlign w:val="superscript"/>
              </w:rPr>
              <w:t>**</w:t>
            </w:r>
          </w:p>
        </w:tc>
      </w:tr>
      <w:tr w:rsidR="00D00AB1" w:rsidRPr="00A04F75" w14:paraId="407793DF" w14:textId="77777777" w:rsidTr="002A175E">
        <w:tc>
          <w:tcPr>
            <w:tcW w:w="6912" w:type="dxa"/>
            <w:vMerge/>
            <w:tcBorders>
              <w:left w:val="nil"/>
              <w:bottom w:val="nil"/>
              <w:right w:val="nil"/>
            </w:tcBorders>
          </w:tcPr>
          <w:p w14:paraId="1DA5BD50"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7A5C6E37"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46FD311C"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(0.020)</w:t>
            </w:r>
          </w:p>
        </w:tc>
        <w:tc>
          <w:tcPr>
            <w:tcW w:w="1134" w:type="dxa"/>
            <w:tcBorders>
              <w:top w:val="nil"/>
              <w:left w:val="nil"/>
              <w:bottom w:val="nil"/>
              <w:right w:val="nil"/>
            </w:tcBorders>
          </w:tcPr>
          <w:p w14:paraId="7A51E632"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(0.021)</w:t>
            </w:r>
          </w:p>
        </w:tc>
        <w:tc>
          <w:tcPr>
            <w:tcW w:w="1276" w:type="dxa"/>
            <w:tcBorders>
              <w:top w:val="nil"/>
              <w:left w:val="nil"/>
              <w:bottom w:val="nil"/>
              <w:right w:val="nil"/>
            </w:tcBorders>
          </w:tcPr>
          <w:p w14:paraId="32F90300"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(0.025)</w:t>
            </w:r>
          </w:p>
        </w:tc>
        <w:tc>
          <w:tcPr>
            <w:tcW w:w="1276" w:type="dxa"/>
            <w:tcBorders>
              <w:top w:val="nil"/>
              <w:left w:val="nil"/>
              <w:bottom w:val="nil"/>
              <w:right w:val="nil"/>
            </w:tcBorders>
          </w:tcPr>
          <w:p w14:paraId="15F4F424"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(0.024)</w:t>
            </w:r>
          </w:p>
        </w:tc>
        <w:tc>
          <w:tcPr>
            <w:tcW w:w="1166" w:type="dxa"/>
            <w:tcBorders>
              <w:top w:val="nil"/>
              <w:left w:val="nil"/>
              <w:bottom w:val="nil"/>
              <w:right w:val="nil"/>
            </w:tcBorders>
          </w:tcPr>
          <w:p w14:paraId="7146B416"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(0.021)</w:t>
            </w:r>
          </w:p>
        </w:tc>
      </w:tr>
      <w:tr w:rsidR="00D00AB1" w:rsidRPr="00A04F75" w14:paraId="7A6ECC5C" w14:textId="77777777" w:rsidTr="002A175E">
        <w:tc>
          <w:tcPr>
            <w:tcW w:w="6912" w:type="dxa"/>
            <w:tcBorders>
              <w:top w:val="nil"/>
              <w:left w:val="nil"/>
              <w:bottom w:val="nil"/>
              <w:right w:val="nil"/>
            </w:tcBorders>
          </w:tcPr>
          <w:p w14:paraId="4670B0CC"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6C3B5354"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3AF8B9D3"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72FD9450"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052FB7E7"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12AECFB2"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57628AAC" w14:textId="77777777" w:rsidR="00D00AB1" w:rsidRPr="00A04F75" w:rsidRDefault="00D00AB1" w:rsidP="00A84EB0">
            <w:pPr>
              <w:jc w:val="center"/>
              <w:rPr>
                <w:rFonts w:ascii="Times New Roman" w:hAnsi="Times New Roman" w:cs="Times New Roman"/>
                <w:szCs w:val="24"/>
              </w:rPr>
            </w:pPr>
          </w:p>
        </w:tc>
      </w:tr>
      <w:tr w:rsidR="00D00AB1" w:rsidRPr="00A04F75" w14:paraId="3E244B88" w14:textId="77777777" w:rsidTr="002A175E">
        <w:tc>
          <w:tcPr>
            <w:tcW w:w="6912" w:type="dxa"/>
            <w:tcBorders>
              <w:top w:val="nil"/>
              <w:left w:val="nil"/>
              <w:bottom w:val="nil"/>
              <w:right w:val="nil"/>
            </w:tcBorders>
          </w:tcPr>
          <w:p w14:paraId="07A2EA80" w14:textId="77777777" w:rsidR="00D00AB1" w:rsidRPr="00A04F75" w:rsidRDefault="00D00AB1" w:rsidP="002A175E">
            <w:pPr>
              <w:rPr>
                <w:rFonts w:ascii="Times New Roman" w:hAnsi="Times New Roman" w:cs="Times New Roman"/>
                <w:szCs w:val="24"/>
              </w:rPr>
            </w:pPr>
            <w:r>
              <w:rPr>
                <w:rFonts w:ascii="Times New Roman" w:hAnsi="Times New Roman" w:cs="Times New Roman"/>
                <w:szCs w:val="24"/>
              </w:rPr>
              <w:t>Public debt as percentage of GDP in the previous year</w:t>
            </w:r>
          </w:p>
        </w:tc>
        <w:tc>
          <w:tcPr>
            <w:tcW w:w="1276" w:type="dxa"/>
            <w:tcBorders>
              <w:top w:val="nil"/>
              <w:left w:val="nil"/>
              <w:bottom w:val="nil"/>
              <w:right w:val="nil"/>
            </w:tcBorders>
          </w:tcPr>
          <w:p w14:paraId="100AD465"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0A82DA65"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590114E7"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-0.0025</w:t>
            </w:r>
          </w:p>
        </w:tc>
        <w:tc>
          <w:tcPr>
            <w:tcW w:w="1276" w:type="dxa"/>
            <w:tcBorders>
              <w:top w:val="nil"/>
              <w:left w:val="nil"/>
              <w:bottom w:val="nil"/>
              <w:right w:val="nil"/>
            </w:tcBorders>
          </w:tcPr>
          <w:p w14:paraId="198BD54F"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-0.0046</w:t>
            </w:r>
          </w:p>
        </w:tc>
        <w:tc>
          <w:tcPr>
            <w:tcW w:w="1276" w:type="dxa"/>
            <w:tcBorders>
              <w:top w:val="nil"/>
              <w:left w:val="nil"/>
              <w:bottom w:val="nil"/>
              <w:right w:val="nil"/>
            </w:tcBorders>
          </w:tcPr>
          <w:p w14:paraId="2483070D"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-0.0030</w:t>
            </w:r>
          </w:p>
        </w:tc>
        <w:tc>
          <w:tcPr>
            <w:tcW w:w="1166" w:type="dxa"/>
            <w:tcBorders>
              <w:top w:val="nil"/>
              <w:left w:val="nil"/>
              <w:bottom w:val="nil"/>
              <w:right w:val="nil"/>
            </w:tcBorders>
          </w:tcPr>
          <w:p w14:paraId="51B23EE9"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-0.0028</w:t>
            </w:r>
          </w:p>
        </w:tc>
      </w:tr>
      <w:tr w:rsidR="00D00AB1" w:rsidRPr="00A04F75" w14:paraId="6F50637C" w14:textId="77777777" w:rsidTr="002A175E">
        <w:tc>
          <w:tcPr>
            <w:tcW w:w="6912" w:type="dxa"/>
            <w:tcBorders>
              <w:top w:val="nil"/>
              <w:left w:val="nil"/>
              <w:bottom w:val="nil"/>
              <w:right w:val="nil"/>
            </w:tcBorders>
          </w:tcPr>
          <w:p w14:paraId="117286E9"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71AE5EB3"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4973F2DC"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0038C941"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(0.0043)</w:t>
            </w:r>
          </w:p>
        </w:tc>
        <w:tc>
          <w:tcPr>
            <w:tcW w:w="1276" w:type="dxa"/>
            <w:tcBorders>
              <w:top w:val="nil"/>
              <w:left w:val="nil"/>
              <w:bottom w:val="nil"/>
              <w:right w:val="nil"/>
            </w:tcBorders>
          </w:tcPr>
          <w:p w14:paraId="1D8D623C"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(0.0046)</w:t>
            </w:r>
          </w:p>
        </w:tc>
        <w:tc>
          <w:tcPr>
            <w:tcW w:w="1276" w:type="dxa"/>
            <w:tcBorders>
              <w:top w:val="nil"/>
              <w:left w:val="nil"/>
              <w:bottom w:val="nil"/>
              <w:right w:val="nil"/>
            </w:tcBorders>
          </w:tcPr>
          <w:p w14:paraId="53FE644D"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(0.0047)</w:t>
            </w:r>
          </w:p>
        </w:tc>
        <w:tc>
          <w:tcPr>
            <w:tcW w:w="1166" w:type="dxa"/>
            <w:tcBorders>
              <w:top w:val="nil"/>
              <w:left w:val="nil"/>
              <w:bottom w:val="nil"/>
              <w:right w:val="nil"/>
            </w:tcBorders>
          </w:tcPr>
          <w:p w14:paraId="615AB14B"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(0.0051)</w:t>
            </w:r>
          </w:p>
        </w:tc>
      </w:tr>
      <w:tr w:rsidR="00D00AB1" w:rsidRPr="00A04F75" w14:paraId="355ADB18" w14:textId="77777777" w:rsidTr="002A175E">
        <w:tc>
          <w:tcPr>
            <w:tcW w:w="6912" w:type="dxa"/>
            <w:tcBorders>
              <w:top w:val="nil"/>
              <w:left w:val="nil"/>
              <w:bottom w:val="nil"/>
              <w:right w:val="nil"/>
            </w:tcBorders>
          </w:tcPr>
          <w:p w14:paraId="7A0572B2"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3E0E112C"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3CB59E39"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1E83D75C"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42E9B86B"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1B54AC1A"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1A5B2303" w14:textId="77777777" w:rsidR="00D00AB1" w:rsidRPr="00A04F75" w:rsidRDefault="00D00AB1" w:rsidP="00A84EB0">
            <w:pPr>
              <w:jc w:val="center"/>
              <w:rPr>
                <w:rFonts w:ascii="Times New Roman" w:hAnsi="Times New Roman" w:cs="Times New Roman"/>
                <w:szCs w:val="24"/>
              </w:rPr>
            </w:pPr>
          </w:p>
        </w:tc>
      </w:tr>
      <w:tr w:rsidR="00D00AB1" w:rsidRPr="00A04F75" w14:paraId="07D83F2F" w14:textId="77777777" w:rsidTr="002A175E">
        <w:tc>
          <w:tcPr>
            <w:tcW w:w="6912" w:type="dxa"/>
            <w:tcBorders>
              <w:top w:val="nil"/>
              <w:left w:val="nil"/>
              <w:bottom w:val="nil"/>
              <w:right w:val="nil"/>
            </w:tcBorders>
          </w:tcPr>
          <w:p w14:paraId="7993F99D" w14:textId="77777777" w:rsidR="00D00AB1" w:rsidRPr="00A04F75" w:rsidRDefault="00D00AB1" w:rsidP="002A175E">
            <w:pPr>
              <w:rPr>
                <w:rFonts w:ascii="Times New Roman" w:hAnsi="Times New Roman" w:cs="Times New Roman"/>
                <w:szCs w:val="24"/>
              </w:rPr>
            </w:pPr>
            <w:r w:rsidRPr="00A04F75">
              <w:rPr>
                <w:rFonts w:ascii="Times New Roman" w:hAnsi="Times New Roman" w:cs="Times New Roman"/>
                <w:szCs w:val="24"/>
              </w:rPr>
              <w:t xml:space="preserve">Implemented austerity in </w:t>
            </w:r>
            <w:r>
              <w:rPr>
                <w:rFonts w:ascii="Times New Roman" w:hAnsi="Times New Roman" w:cs="Times New Roman"/>
                <w:szCs w:val="24"/>
              </w:rPr>
              <w:t>current year</w:t>
            </w:r>
          </w:p>
        </w:tc>
        <w:tc>
          <w:tcPr>
            <w:tcW w:w="1276" w:type="dxa"/>
            <w:tcBorders>
              <w:top w:val="nil"/>
              <w:left w:val="nil"/>
              <w:bottom w:val="nil"/>
              <w:right w:val="nil"/>
            </w:tcBorders>
          </w:tcPr>
          <w:p w14:paraId="3CDBEA55"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5BB980BD"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768CC5E6"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1190F055"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1.90</w:t>
            </w:r>
            <w:r w:rsidRPr="00A04F75">
              <w:rPr>
                <w:rFonts w:ascii="Times New Roman" w:hAnsi="Times New Roman" w:cs="Times New Roman"/>
                <w:szCs w:val="24"/>
                <w:vertAlign w:val="superscript"/>
              </w:rPr>
              <w:t>**</w:t>
            </w:r>
          </w:p>
        </w:tc>
        <w:tc>
          <w:tcPr>
            <w:tcW w:w="1276" w:type="dxa"/>
            <w:tcBorders>
              <w:top w:val="nil"/>
              <w:left w:val="nil"/>
              <w:bottom w:val="nil"/>
              <w:right w:val="nil"/>
            </w:tcBorders>
          </w:tcPr>
          <w:p w14:paraId="0060B663"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1.87</w:t>
            </w:r>
            <w:r w:rsidRPr="00A04F75">
              <w:rPr>
                <w:rFonts w:ascii="Times New Roman" w:hAnsi="Times New Roman" w:cs="Times New Roman"/>
                <w:szCs w:val="24"/>
                <w:vertAlign w:val="superscript"/>
              </w:rPr>
              <w:t>**</w:t>
            </w:r>
          </w:p>
        </w:tc>
        <w:tc>
          <w:tcPr>
            <w:tcW w:w="1166" w:type="dxa"/>
            <w:tcBorders>
              <w:top w:val="nil"/>
              <w:left w:val="nil"/>
              <w:bottom w:val="nil"/>
              <w:right w:val="nil"/>
            </w:tcBorders>
          </w:tcPr>
          <w:p w14:paraId="1941AEB6"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1.96</w:t>
            </w:r>
            <w:r w:rsidRPr="00A04F75">
              <w:rPr>
                <w:rFonts w:ascii="Times New Roman" w:hAnsi="Times New Roman" w:cs="Times New Roman"/>
                <w:szCs w:val="24"/>
                <w:vertAlign w:val="superscript"/>
              </w:rPr>
              <w:t>**</w:t>
            </w:r>
          </w:p>
        </w:tc>
      </w:tr>
      <w:tr w:rsidR="00D00AB1" w:rsidRPr="00A04F75" w14:paraId="1F21A4D1" w14:textId="77777777" w:rsidTr="002A175E">
        <w:tc>
          <w:tcPr>
            <w:tcW w:w="6912" w:type="dxa"/>
            <w:tcBorders>
              <w:top w:val="nil"/>
              <w:left w:val="nil"/>
              <w:bottom w:val="nil"/>
              <w:right w:val="nil"/>
            </w:tcBorders>
          </w:tcPr>
          <w:p w14:paraId="0DFC9F5D"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2F7A5BAE"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041BE448"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3D116171"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5ED40A3C"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(0.32)</w:t>
            </w:r>
          </w:p>
        </w:tc>
        <w:tc>
          <w:tcPr>
            <w:tcW w:w="1276" w:type="dxa"/>
            <w:tcBorders>
              <w:top w:val="nil"/>
              <w:left w:val="nil"/>
              <w:bottom w:val="nil"/>
              <w:right w:val="nil"/>
            </w:tcBorders>
          </w:tcPr>
          <w:p w14:paraId="07998601"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(0.31)</w:t>
            </w:r>
          </w:p>
        </w:tc>
        <w:tc>
          <w:tcPr>
            <w:tcW w:w="1166" w:type="dxa"/>
            <w:tcBorders>
              <w:top w:val="nil"/>
              <w:left w:val="nil"/>
              <w:bottom w:val="nil"/>
              <w:right w:val="nil"/>
            </w:tcBorders>
          </w:tcPr>
          <w:p w14:paraId="27B67E8D"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(0.32)</w:t>
            </w:r>
          </w:p>
        </w:tc>
      </w:tr>
      <w:tr w:rsidR="00D00AB1" w:rsidRPr="00A04F75" w14:paraId="2AEC45C8" w14:textId="77777777" w:rsidTr="002A175E">
        <w:tc>
          <w:tcPr>
            <w:tcW w:w="6912" w:type="dxa"/>
            <w:tcBorders>
              <w:top w:val="nil"/>
              <w:left w:val="nil"/>
              <w:bottom w:val="nil"/>
              <w:right w:val="nil"/>
            </w:tcBorders>
          </w:tcPr>
          <w:p w14:paraId="68BCA53D"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281C01A8"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55786478"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06B332A7"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23AAE917"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6EBCE893"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60334BB5" w14:textId="77777777" w:rsidR="00D00AB1" w:rsidRPr="00A04F75" w:rsidRDefault="00D00AB1" w:rsidP="00A84EB0">
            <w:pPr>
              <w:jc w:val="center"/>
              <w:rPr>
                <w:rFonts w:ascii="Times New Roman" w:hAnsi="Times New Roman" w:cs="Times New Roman"/>
                <w:szCs w:val="24"/>
              </w:rPr>
            </w:pPr>
          </w:p>
        </w:tc>
      </w:tr>
      <w:tr w:rsidR="00D00AB1" w:rsidRPr="00A04F75" w14:paraId="11109870" w14:textId="77777777" w:rsidTr="002A175E">
        <w:tc>
          <w:tcPr>
            <w:tcW w:w="6912" w:type="dxa"/>
            <w:tcBorders>
              <w:top w:val="nil"/>
              <w:left w:val="nil"/>
              <w:bottom w:val="nil"/>
              <w:right w:val="nil"/>
            </w:tcBorders>
          </w:tcPr>
          <w:p w14:paraId="453DDA21" w14:textId="77777777" w:rsidR="00D00AB1" w:rsidRPr="00A04F75" w:rsidRDefault="00D00AB1" w:rsidP="002A175E">
            <w:pPr>
              <w:rPr>
                <w:rFonts w:ascii="Times New Roman" w:hAnsi="Times New Roman" w:cs="Times New Roman"/>
                <w:szCs w:val="24"/>
              </w:rPr>
            </w:pPr>
            <w:r w:rsidRPr="00A04F75">
              <w:rPr>
                <w:rFonts w:ascii="Times New Roman" w:hAnsi="Times New Roman" w:cs="Times New Roman"/>
                <w:szCs w:val="24"/>
              </w:rPr>
              <w:t xml:space="preserve">IMF bailout active in </w:t>
            </w:r>
            <w:r>
              <w:rPr>
                <w:rFonts w:ascii="Times New Roman" w:hAnsi="Times New Roman" w:cs="Times New Roman"/>
                <w:szCs w:val="24"/>
              </w:rPr>
              <w:t>current year</w:t>
            </w:r>
            <w:r w:rsidRPr="00A04F75">
              <w:rPr>
                <w:rFonts w:ascii="Times New Roman" w:hAnsi="Times New Roman" w:cs="Times New Roman"/>
                <w:szCs w:val="24"/>
              </w:rPr>
              <w:t xml:space="preserve"> </w:t>
            </w:r>
          </w:p>
        </w:tc>
        <w:tc>
          <w:tcPr>
            <w:tcW w:w="1276" w:type="dxa"/>
            <w:tcBorders>
              <w:top w:val="nil"/>
              <w:left w:val="nil"/>
              <w:bottom w:val="nil"/>
              <w:right w:val="nil"/>
            </w:tcBorders>
          </w:tcPr>
          <w:p w14:paraId="70E600F9"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42C03A42"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6387BBBC"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6939F941"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701C2A45"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0.81</w:t>
            </w:r>
            <w:r w:rsidRPr="00A04F75">
              <w:rPr>
                <w:rFonts w:ascii="Times New Roman" w:hAnsi="Times New Roman" w:cs="Times New Roman"/>
                <w:szCs w:val="24"/>
                <w:vertAlign w:val="superscript"/>
              </w:rPr>
              <w:t>**</w:t>
            </w:r>
          </w:p>
        </w:tc>
        <w:tc>
          <w:tcPr>
            <w:tcW w:w="1166" w:type="dxa"/>
            <w:tcBorders>
              <w:top w:val="nil"/>
              <w:left w:val="nil"/>
              <w:bottom w:val="nil"/>
              <w:right w:val="nil"/>
            </w:tcBorders>
          </w:tcPr>
          <w:p w14:paraId="038E9C58"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1.36</w:t>
            </w:r>
            <w:r w:rsidRPr="00A04F75">
              <w:rPr>
                <w:rFonts w:ascii="Times New Roman" w:hAnsi="Times New Roman" w:cs="Times New Roman"/>
                <w:szCs w:val="24"/>
                <w:vertAlign w:val="superscript"/>
              </w:rPr>
              <w:t>**</w:t>
            </w:r>
          </w:p>
        </w:tc>
      </w:tr>
      <w:tr w:rsidR="00D00AB1" w:rsidRPr="00A04F75" w14:paraId="3AAAE2DC" w14:textId="77777777" w:rsidTr="002A175E">
        <w:tc>
          <w:tcPr>
            <w:tcW w:w="6912" w:type="dxa"/>
            <w:tcBorders>
              <w:top w:val="nil"/>
              <w:left w:val="nil"/>
              <w:bottom w:val="nil"/>
              <w:right w:val="nil"/>
            </w:tcBorders>
          </w:tcPr>
          <w:p w14:paraId="44B4CA91"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66CBFA42"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3A4CB129"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2B353D0D"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3473D651"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5AF1BCE9"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(0.26)</w:t>
            </w:r>
          </w:p>
        </w:tc>
        <w:tc>
          <w:tcPr>
            <w:tcW w:w="1166" w:type="dxa"/>
            <w:tcBorders>
              <w:top w:val="nil"/>
              <w:left w:val="nil"/>
              <w:bottom w:val="nil"/>
              <w:right w:val="nil"/>
            </w:tcBorders>
          </w:tcPr>
          <w:p w14:paraId="06E92E89"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(0.35)</w:t>
            </w:r>
          </w:p>
        </w:tc>
      </w:tr>
      <w:tr w:rsidR="00D00AB1" w:rsidRPr="00A04F75" w14:paraId="49544BDD" w14:textId="77777777" w:rsidTr="002A175E">
        <w:tc>
          <w:tcPr>
            <w:tcW w:w="6912" w:type="dxa"/>
            <w:tcBorders>
              <w:top w:val="nil"/>
              <w:left w:val="nil"/>
              <w:bottom w:val="nil"/>
              <w:right w:val="nil"/>
            </w:tcBorders>
          </w:tcPr>
          <w:p w14:paraId="48CDE864"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1E590F55"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59AE02E6"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03B2154A"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61E7624A"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04B2A9BF"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5526B756" w14:textId="77777777" w:rsidR="00D00AB1" w:rsidRPr="00A04F75" w:rsidRDefault="00D00AB1" w:rsidP="00A84EB0">
            <w:pPr>
              <w:jc w:val="center"/>
              <w:rPr>
                <w:rFonts w:ascii="Times New Roman" w:hAnsi="Times New Roman" w:cs="Times New Roman"/>
                <w:szCs w:val="24"/>
              </w:rPr>
            </w:pPr>
          </w:p>
        </w:tc>
      </w:tr>
      <w:tr w:rsidR="00D00AB1" w:rsidRPr="00A04F75" w14:paraId="456DBC42" w14:textId="77777777" w:rsidTr="002A175E">
        <w:tc>
          <w:tcPr>
            <w:tcW w:w="6912" w:type="dxa"/>
            <w:tcBorders>
              <w:top w:val="nil"/>
              <w:left w:val="nil"/>
              <w:bottom w:val="nil"/>
              <w:right w:val="nil"/>
            </w:tcBorders>
          </w:tcPr>
          <w:p w14:paraId="41EF2D29" w14:textId="77777777" w:rsidR="00D00AB1" w:rsidRPr="00A04F75" w:rsidRDefault="00D00AB1" w:rsidP="002A175E">
            <w:pPr>
              <w:rPr>
                <w:rFonts w:ascii="Times New Roman" w:hAnsi="Times New Roman" w:cs="Times New Roman"/>
                <w:szCs w:val="24"/>
              </w:rPr>
            </w:pPr>
            <w:r w:rsidRPr="00A04F75">
              <w:rPr>
                <w:rFonts w:ascii="Times New Roman" w:hAnsi="Times New Roman" w:cs="Times New Roman"/>
                <w:szCs w:val="24"/>
              </w:rPr>
              <w:t>Left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1276" w:type="dxa"/>
            <w:tcBorders>
              <w:top w:val="nil"/>
              <w:left w:val="nil"/>
              <w:bottom w:val="nil"/>
              <w:right w:val="nil"/>
            </w:tcBorders>
          </w:tcPr>
          <w:p w14:paraId="0FA44980"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2CA4718B"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3BA4A442"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363E4BBF"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0EECBB14"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2AD195D4"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-0.47</w:t>
            </w:r>
          </w:p>
        </w:tc>
      </w:tr>
      <w:tr w:rsidR="00D00AB1" w:rsidRPr="00A04F75" w14:paraId="58A91EDC" w14:textId="77777777" w:rsidTr="002A175E">
        <w:tc>
          <w:tcPr>
            <w:tcW w:w="6912" w:type="dxa"/>
            <w:tcBorders>
              <w:top w:val="nil"/>
              <w:left w:val="nil"/>
              <w:bottom w:val="nil"/>
              <w:right w:val="nil"/>
            </w:tcBorders>
          </w:tcPr>
          <w:p w14:paraId="1DDC0C71"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1DD60413"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36670925"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29D6ABC8"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2B88DB3E"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3C4FAD38"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57B51310"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(0.42)</w:t>
            </w:r>
          </w:p>
        </w:tc>
      </w:tr>
      <w:tr w:rsidR="00D00AB1" w:rsidRPr="00A04F75" w14:paraId="74C0E375" w14:textId="77777777" w:rsidTr="002A175E">
        <w:tc>
          <w:tcPr>
            <w:tcW w:w="6912" w:type="dxa"/>
            <w:tcBorders>
              <w:top w:val="nil"/>
              <w:left w:val="nil"/>
              <w:bottom w:val="nil"/>
              <w:right w:val="nil"/>
            </w:tcBorders>
          </w:tcPr>
          <w:p w14:paraId="6B11B3CA"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212B2C5E"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1051DFDA"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30056F89"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5B949D3B"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6F60BEB1"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6D807978" w14:textId="77777777" w:rsidR="00D00AB1" w:rsidRPr="00A04F75" w:rsidRDefault="00D00AB1" w:rsidP="00A84EB0">
            <w:pPr>
              <w:jc w:val="center"/>
              <w:rPr>
                <w:rFonts w:ascii="Times New Roman" w:hAnsi="Times New Roman" w:cs="Times New Roman"/>
                <w:szCs w:val="24"/>
              </w:rPr>
            </w:pPr>
          </w:p>
        </w:tc>
      </w:tr>
      <w:tr w:rsidR="00D00AB1" w:rsidRPr="00A04F75" w14:paraId="6706F9C8" w14:textId="77777777" w:rsidTr="002A175E">
        <w:tc>
          <w:tcPr>
            <w:tcW w:w="6912" w:type="dxa"/>
            <w:tcBorders>
              <w:top w:val="nil"/>
              <w:left w:val="nil"/>
              <w:bottom w:val="nil"/>
              <w:right w:val="nil"/>
            </w:tcBorders>
          </w:tcPr>
          <w:p w14:paraId="26E2EAE1" w14:textId="77777777" w:rsidR="00D00AB1" w:rsidRPr="00A04F75" w:rsidRDefault="00D00AB1" w:rsidP="002A175E">
            <w:pPr>
              <w:rPr>
                <w:rFonts w:ascii="Times New Roman" w:hAnsi="Times New Roman" w:cs="Times New Roman"/>
                <w:szCs w:val="24"/>
              </w:rPr>
            </w:pPr>
            <w:r w:rsidRPr="00A04F75">
              <w:rPr>
                <w:rFonts w:ascii="Times New Roman" w:hAnsi="Times New Roman" w:cs="Times New Roman"/>
                <w:szCs w:val="24"/>
              </w:rPr>
              <w:t>Right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1276" w:type="dxa"/>
            <w:tcBorders>
              <w:top w:val="nil"/>
              <w:left w:val="nil"/>
              <w:bottom w:val="nil"/>
              <w:right w:val="nil"/>
            </w:tcBorders>
          </w:tcPr>
          <w:p w14:paraId="6A597873"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056ED542"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07F7F3A9"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4E4B5417"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3AE5CAF3"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1CA7A8E4"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-0.19</w:t>
            </w:r>
          </w:p>
        </w:tc>
      </w:tr>
      <w:tr w:rsidR="00D00AB1" w:rsidRPr="00A04F75" w14:paraId="29B7A2B3" w14:textId="77777777" w:rsidTr="002A175E">
        <w:tc>
          <w:tcPr>
            <w:tcW w:w="6912" w:type="dxa"/>
            <w:tcBorders>
              <w:top w:val="nil"/>
              <w:left w:val="nil"/>
              <w:bottom w:val="nil"/>
              <w:right w:val="nil"/>
            </w:tcBorders>
          </w:tcPr>
          <w:p w14:paraId="11A96E63"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nil"/>
              <w:right w:val="nil"/>
            </w:tcBorders>
          </w:tcPr>
          <w:p w14:paraId="2BFC81B1"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11081FD9"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nil"/>
              <w:right w:val="nil"/>
            </w:tcBorders>
          </w:tcPr>
          <w:p w14:paraId="7FBA7250"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2EC066E4"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nil"/>
              <w:right w:val="nil"/>
            </w:tcBorders>
          </w:tcPr>
          <w:p w14:paraId="26380E2C"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nil"/>
              <w:right w:val="nil"/>
            </w:tcBorders>
          </w:tcPr>
          <w:p w14:paraId="4F84838D"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(0.48)</w:t>
            </w:r>
          </w:p>
        </w:tc>
      </w:tr>
      <w:tr w:rsidR="00D00AB1" w:rsidRPr="00A04F75" w14:paraId="65DD4779" w14:textId="77777777" w:rsidTr="002A175E">
        <w:tc>
          <w:tcPr>
            <w:tcW w:w="6912" w:type="dxa"/>
            <w:tcBorders>
              <w:top w:val="nil"/>
              <w:left w:val="nil"/>
              <w:bottom w:val="single" w:sz="4" w:space="0" w:color="auto"/>
              <w:right w:val="nil"/>
            </w:tcBorders>
          </w:tcPr>
          <w:p w14:paraId="04E964C7" w14:textId="77777777" w:rsidR="00D00AB1" w:rsidRPr="00A04F75" w:rsidRDefault="00D00AB1" w:rsidP="002A175E">
            <w:pPr>
              <w:rPr>
                <w:rFonts w:ascii="Times New Roman" w:hAnsi="Times New Roman" w:cs="Times New Roman"/>
                <w:szCs w:val="24"/>
              </w:rPr>
            </w:pPr>
          </w:p>
        </w:tc>
        <w:tc>
          <w:tcPr>
            <w:tcW w:w="1276" w:type="dxa"/>
            <w:tcBorders>
              <w:top w:val="nil"/>
              <w:left w:val="nil"/>
              <w:bottom w:val="single" w:sz="4" w:space="0" w:color="auto"/>
              <w:right w:val="nil"/>
            </w:tcBorders>
          </w:tcPr>
          <w:p w14:paraId="08CBDF2B"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single" w:sz="4" w:space="0" w:color="auto"/>
              <w:right w:val="nil"/>
            </w:tcBorders>
          </w:tcPr>
          <w:p w14:paraId="103D22EE" w14:textId="77777777" w:rsidR="00D00AB1" w:rsidRPr="00A04F75" w:rsidRDefault="00D00AB1" w:rsidP="00A84EB0">
            <w:pPr>
              <w:jc w:val="center"/>
              <w:rPr>
                <w:rFonts w:ascii="Times New Roman" w:hAnsi="Times New Roman" w:cs="Times New Roman"/>
                <w:szCs w:val="24"/>
              </w:rPr>
            </w:pPr>
          </w:p>
        </w:tc>
        <w:tc>
          <w:tcPr>
            <w:tcW w:w="1134" w:type="dxa"/>
            <w:tcBorders>
              <w:top w:val="nil"/>
              <w:left w:val="nil"/>
              <w:bottom w:val="single" w:sz="4" w:space="0" w:color="auto"/>
              <w:right w:val="nil"/>
            </w:tcBorders>
          </w:tcPr>
          <w:p w14:paraId="1471C1AE"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single" w:sz="4" w:space="0" w:color="auto"/>
              <w:right w:val="nil"/>
            </w:tcBorders>
          </w:tcPr>
          <w:p w14:paraId="6B1FF30B" w14:textId="77777777" w:rsidR="00D00AB1" w:rsidRPr="00A04F75" w:rsidRDefault="00D00AB1" w:rsidP="00A84EB0">
            <w:pPr>
              <w:jc w:val="center"/>
              <w:rPr>
                <w:rFonts w:ascii="Times New Roman" w:hAnsi="Times New Roman" w:cs="Times New Roman"/>
                <w:szCs w:val="24"/>
              </w:rPr>
            </w:pPr>
          </w:p>
        </w:tc>
        <w:tc>
          <w:tcPr>
            <w:tcW w:w="1276" w:type="dxa"/>
            <w:tcBorders>
              <w:top w:val="nil"/>
              <w:left w:val="nil"/>
              <w:bottom w:val="single" w:sz="4" w:space="0" w:color="auto"/>
              <w:right w:val="nil"/>
            </w:tcBorders>
          </w:tcPr>
          <w:p w14:paraId="43BBEE19" w14:textId="77777777" w:rsidR="00D00AB1" w:rsidRPr="00A04F75" w:rsidRDefault="00D00AB1" w:rsidP="00A84EB0">
            <w:pPr>
              <w:jc w:val="center"/>
              <w:rPr>
                <w:rFonts w:ascii="Times New Roman" w:hAnsi="Times New Roman" w:cs="Times New Roman"/>
                <w:szCs w:val="24"/>
              </w:rPr>
            </w:pPr>
          </w:p>
        </w:tc>
        <w:tc>
          <w:tcPr>
            <w:tcW w:w="1166" w:type="dxa"/>
            <w:tcBorders>
              <w:top w:val="nil"/>
              <w:left w:val="nil"/>
              <w:bottom w:val="single" w:sz="4" w:space="0" w:color="auto"/>
              <w:right w:val="nil"/>
            </w:tcBorders>
          </w:tcPr>
          <w:p w14:paraId="1BAA0DBA" w14:textId="77777777" w:rsidR="00D00AB1" w:rsidRPr="00A04F75" w:rsidRDefault="00D00AB1" w:rsidP="00A84EB0">
            <w:pPr>
              <w:jc w:val="center"/>
              <w:rPr>
                <w:rFonts w:ascii="Times New Roman" w:hAnsi="Times New Roman" w:cs="Times New Roman"/>
                <w:szCs w:val="24"/>
              </w:rPr>
            </w:pPr>
          </w:p>
        </w:tc>
      </w:tr>
      <w:tr w:rsidR="00D00AB1" w:rsidRPr="00A04F75" w14:paraId="4C6AF64E" w14:textId="77777777" w:rsidTr="002A175E">
        <w:tc>
          <w:tcPr>
            <w:tcW w:w="6912" w:type="dxa"/>
            <w:tcBorders>
              <w:top w:val="single" w:sz="4" w:space="0" w:color="auto"/>
              <w:left w:val="nil"/>
              <w:right w:val="nil"/>
            </w:tcBorders>
          </w:tcPr>
          <w:p w14:paraId="750BE1EB" w14:textId="77777777" w:rsidR="00D00AB1" w:rsidRPr="00A04F75" w:rsidRDefault="00D00AB1" w:rsidP="002A175E">
            <w:pPr>
              <w:rPr>
                <w:rFonts w:ascii="Times New Roman" w:hAnsi="Times New Roman" w:cs="Times New Roman"/>
                <w:iCs/>
                <w:szCs w:val="24"/>
              </w:rPr>
            </w:pPr>
            <w:r w:rsidRPr="00A14A34">
              <w:rPr>
                <w:rFonts w:ascii="Times New Roman" w:hAnsi="Times New Roman" w:cs="Times New Roman"/>
                <w:iCs/>
                <w:szCs w:val="24"/>
              </w:rPr>
              <w:t>Countries</w:t>
            </w:r>
          </w:p>
        </w:tc>
        <w:tc>
          <w:tcPr>
            <w:tcW w:w="1276" w:type="dxa"/>
            <w:tcBorders>
              <w:top w:val="single" w:sz="4" w:space="0" w:color="auto"/>
              <w:left w:val="nil"/>
              <w:right w:val="nil"/>
            </w:tcBorders>
          </w:tcPr>
          <w:p w14:paraId="63E6E2F7"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27</w:t>
            </w:r>
          </w:p>
        </w:tc>
        <w:tc>
          <w:tcPr>
            <w:tcW w:w="1134" w:type="dxa"/>
            <w:tcBorders>
              <w:top w:val="single" w:sz="4" w:space="0" w:color="auto"/>
              <w:left w:val="nil"/>
              <w:right w:val="nil"/>
            </w:tcBorders>
          </w:tcPr>
          <w:p w14:paraId="2B9DFB78"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27</w:t>
            </w:r>
          </w:p>
        </w:tc>
        <w:tc>
          <w:tcPr>
            <w:tcW w:w="1134" w:type="dxa"/>
            <w:tcBorders>
              <w:top w:val="single" w:sz="4" w:space="0" w:color="auto"/>
              <w:left w:val="nil"/>
              <w:right w:val="nil"/>
            </w:tcBorders>
          </w:tcPr>
          <w:p w14:paraId="66C4E6FC"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27</w:t>
            </w:r>
          </w:p>
        </w:tc>
        <w:tc>
          <w:tcPr>
            <w:tcW w:w="1276" w:type="dxa"/>
            <w:tcBorders>
              <w:top w:val="single" w:sz="4" w:space="0" w:color="auto"/>
              <w:left w:val="nil"/>
              <w:right w:val="nil"/>
            </w:tcBorders>
          </w:tcPr>
          <w:p w14:paraId="2ADE3AD3"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27</w:t>
            </w:r>
          </w:p>
        </w:tc>
        <w:tc>
          <w:tcPr>
            <w:tcW w:w="1276" w:type="dxa"/>
            <w:tcBorders>
              <w:top w:val="single" w:sz="4" w:space="0" w:color="auto"/>
              <w:left w:val="nil"/>
              <w:right w:val="nil"/>
            </w:tcBorders>
          </w:tcPr>
          <w:p w14:paraId="2A836BFF"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27</w:t>
            </w:r>
          </w:p>
        </w:tc>
        <w:tc>
          <w:tcPr>
            <w:tcW w:w="1166" w:type="dxa"/>
            <w:tcBorders>
              <w:top w:val="single" w:sz="4" w:space="0" w:color="auto"/>
              <w:left w:val="nil"/>
              <w:right w:val="nil"/>
            </w:tcBorders>
          </w:tcPr>
          <w:p w14:paraId="0ED2EA16" w14:textId="77777777" w:rsidR="00D00AB1" w:rsidRPr="00A04F75" w:rsidRDefault="00D00AB1" w:rsidP="00A84EB0">
            <w:pPr>
              <w:jc w:val="center"/>
              <w:rPr>
                <w:rFonts w:ascii="Times New Roman" w:hAnsi="Times New Roman" w:cs="Times New Roman"/>
                <w:szCs w:val="24"/>
              </w:rPr>
            </w:pPr>
            <w:r w:rsidRPr="00A14A34">
              <w:rPr>
                <w:rFonts w:ascii="Times New Roman" w:hAnsi="Times New Roman" w:cs="Times New Roman"/>
                <w:szCs w:val="24"/>
              </w:rPr>
              <w:t>27</w:t>
            </w:r>
          </w:p>
        </w:tc>
      </w:tr>
      <w:tr w:rsidR="00D00AB1" w:rsidRPr="00A04F75" w14:paraId="233A3105" w14:textId="77777777" w:rsidTr="002A175E">
        <w:tc>
          <w:tcPr>
            <w:tcW w:w="6912" w:type="dxa"/>
            <w:tcBorders>
              <w:left w:val="nil"/>
              <w:bottom w:val="single" w:sz="4" w:space="0" w:color="auto"/>
              <w:right w:val="nil"/>
            </w:tcBorders>
          </w:tcPr>
          <w:p w14:paraId="3E77DD89" w14:textId="77777777" w:rsidR="00D00AB1" w:rsidRPr="00A04F75" w:rsidRDefault="00D00AB1" w:rsidP="002A175E">
            <w:pPr>
              <w:rPr>
                <w:rFonts w:ascii="Times New Roman" w:hAnsi="Times New Roman" w:cs="Times New Roman"/>
                <w:szCs w:val="24"/>
              </w:rPr>
            </w:pPr>
            <w:r w:rsidRPr="00A14A34">
              <w:rPr>
                <w:rFonts w:ascii="Times New Roman" w:hAnsi="Times New Roman" w:cs="Times New Roman"/>
                <w:iCs/>
                <w:szCs w:val="24"/>
              </w:rPr>
              <w:t>Country-years</w:t>
            </w:r>
          </w:p>
        </w:tc>
        <w:tc>
          <w:tcPr>
            <w:tcW w:w="1276" w:type="dxa"/>
            <w:tcBorders>
              <w:left w:val="nil"/>
              <w:bottom w:val="single" w:sz="4" w:space="0" w:color="auto"/>
              <w:right w:val="nil"/>
            </w:tcBorders>
          </w:tcPr>
          <w:p w14:paraId="177AAA63"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409</w:t>
            </w:r>
          </w:p>
        </w:tc>
        <w:tc>
          <w:tcPr>
            <w:tcW w:w="1134" w:type="dxa"/>
            <w:tcBorders>
              <w:left w:val="nil"/>
              <w:bottom w:val="single" w:sz="4" w:space="0" w:color="auto"/>
              <w:right w:val="nil"/>
            </w:tcBorders>
          </w:tcPr>
          <w:p w14:paraId="57E754BB"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397</w:t>
            </w:r>
          </w:p>
        </w:tc>
        <w:tc>
          <w:tcPr>
            <w:tcW w:w="1134" w:type="dxa"/>
            <w:tcBorders>
              <w:left w:val="nil"/>
              <w:bottom w:val="single" w:sz="4" w:space="0" w:color="auto"/>
              <w:right w:val="nil"/>
            </w:tcBorders>
          </w:tcPr>
          <w:p w14:paraId="60AA6FAF"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391</w:t>
            </w:r>
          </w:p>
        </w:tc>
        <w:tc>
          <w:tcPr>
            <w:tcW w:w="1276" w:type="dxa"/>
            <w:tcBorders>
              <w:left w:val="nil"/>
              <w:bottom w:val="single" w:sz="4" w:space="0" w:color="auto"/>
              <w:right w:val="nil"/>
            </w:tcBorders>
          </w:tcPr>
          <w:p w14:paraId="058B800B"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391</w:t>
            </w:r>
          </w:p>
        </w:tc>
        <w:tc>
          <w:tcPr>
            <w:tcW w:w="1276" w:type="dxa"/>
            <w:tcBorders>
              <w:left w:val="nil"/>
              <w:bottom w:val="single" w:sz="4" w:space="0" w:color="auto"/>
              <w:right w:val="nil"/>
            </w:tcBorders>
          </w:tcPr>
          <w:p w14:paraId="53BBD5F3"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391</w:t>
            </w:r>
          </w:p>
        </w:tc>
        <w:tc>
          <w:tcPr>
            <w:tcW w:w="1166" w:type="dxa"/>
            <w:tcBorders>
              <w:left w:val="nil"/>
              <w:bottom w:val="single" w:sz="4" w:space="0" w:color="auto"/>
              <w:right w:val="nil"/>
            </w:tcBorders>
          </w:tcPr>
          <w:p w14:paraId="680BAEB4" w14:textId="77777777" w:rsidR="00D00AB1" w:rsidRPr="00A04F75" w:rsidRDefault="00D00AB1" w:rsidP="00A84EB0">
            <w:pPr>
              <w:jc w:val="center"/>
              <w:rPr>
                <w:rFonts w:ascii="Times New Roman" w:hAnsi="Times New Roman" w:cs="Times New Roman"/>
                <w:szCs w:val="24"/>
              </w:rPr>
            </w:pPr>
            <w:r w:rsidRPr="00A04F75">
              <w:rPr>
                <w:rFonts w:ascii="Times New Roman" w:hAnsi="Times New Roman" w:cs="Times New Roman"/>
                <w:szCs w:val="24"/>
              </w:rPr>
              <w:t>339</w:t>
            </w:r>
          </w:p>
        </w:tc>
      </w:tr>
    </w:tbl>
    <w:p w14:paraId="0A774970" w14:textId="77777777" w:rsidR="004F0B92" w:rsidRPr="002F3B34" w:rsidRDefault="004F0B92" w:rsidP="004F0B92">
      <w:pPr>
        <w:rPr>
          <w:rFonts w:ascii="Times New Roman" w:hAnsi="Times New Roman" w:cs="Times New Roman"/>
          <w:sz w:val="20"/>
          <w:szCs w:val="20"/>
        </w:rPr>
      </w:pPr>
      <w:r w:rsidRPr="00A84EB0">
        <w:rPr>
          <w:rFonts w:ascii="Times New Roman" w:hAnsi="Times New Roman" w:cs="Times New Roman"/>
          <w:i/>
          <w:sz w:val="20"/>
          <w:szCs w:val="20"/>
        </w:rPr>
        <w:t>Notes:</w:t>
      </w:r>
      <w:r w:rsidRPr="002F3B34">
        <w:rPr>
          <w:rFonts w:ascii="Times New Roman" w:hAnsi="Times New Roman" w:cs="Times New Roman"/>
          <w:sz w:val="20"/>
          <w:szCs w:val="20"/>
        </w:rPr>
        <w:t>Source: EuroStat 2013 edition, IMF MONA 2013 edition, World Bank Political Institutions Database 2013 edition.</w:t>
      </w:r>
    </w:p>
    <w:p w14:paraId="1D48FF25" w14:textId="77777777" w:rsidR="004F0B92" w:rsidRPr="002F3B34" w:rsidRDefault="004F0B92" w:rsidP="00A84EB0">
      <w:pPr>
        <w:rPr>
          <w:rFonts w:ascii="Times New Roman" w:hAnsi="Times New Roman" w:cs="Times New Roman"/>
          <w:sz w:val="20"/>
          <w:szCs w:val="20"/>
        </w:rPr>
      </w:pPr>
      <w:r w:rsidRPr="002F3B34">
        <w:rPr>
          <w:rFonts w:ascii="Times New Roman" w:hAnsi="Times New Roman" w:cs="Times New Roman"/>
          <w:sz w:val="20"/>
          <w:szCs w:val="20"/>
        </w:rPr>
        <w:t xml:space="preserve">Standard errors in parentheses, adjusted for repeated observations: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0.05,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0.01 </w:t>
      </w:r>
    </w:p>
    <w:p w14:paraId="1470DD6D" w14:textId="77777777" w:rsidR="00E26417" w:rsidRPr="00E26417" w:rsidRDefault="00E26417" w:rsidP="001317F7">
      <w:pPr>
        <w:rPr>
          <w:rFonts w:ascii="Times New Roman" w:hAnsi="Times New Roman" w:cs="Times New Roman"/>
          <w:bCs/>
          <w:sz w:val="20"/>
          <w:szCs w:val="20"/>
        </w:rPr>
      </w:pPr>
      <w:r w:rsidRPr="00E26417">
        <w:rPr>
          <w:rFonts w:ascii="Times New Roman" w:hAnsi="Times New Roman" w:cs="Times New Roman"/>
          <w:bCs/>
          <w:sz w:val="20"/>
          <w:szCs w:val="20"/>
          <w:vertAlign w:val="superscript"/>
        </w:rPr>
        <w:t xml:space="preserve">† </w:t>
      </w:r>
      <w:r w:rsidRPr="00E26417">
        <w:rPr>
          <w:rFonts w:ascii="Times New Roman" w:hAnsi="Times New Roman" w:cs="Times New Roman"/>
          <w:bCs/>
          <w:sz w:val="20"/>
          <w:szCs w:val="20"/>
        </w:rPr>
        <w:t>- units in real per capita, in constant purchasing-power-parity USD</w:t>
      </w:r>
    </w:p>
    <w:p w14:paraId="48EB4DCD" w14:textId="77777777" w:rsidR="001317F7" w:rsidRPr="00A04F75" w:rsidRDefault="00A009B8" w:rsidP="001317F7">
      <w:pPr>
        <w:rPr>
          <w:rFonts w:ascii="Times New Roman" w:hAnsi="Times New Roman" w:cs="Times New Roman"/>
          <w:sz w:val="20"/>
          <w:szCs w:val="20"/>
        </w:rPr>
      </w:pPr>
      <w:r w:rsidRPr="002F3B34">
        <w:rPr>
          <w:rFonts w:ascii="Times New Roman" w:hAnsi="Times New Roman" w:cs="Times New Roman"/>
          <w:sz w:val="20"/>
          <w:szCs w:val="20"/>
        </w:rPr>
        <w:t xml:space="preserve">˚ Baseline category is Centre. </w:t>
      </w:r>
      <w:r w:rsidR="00C10BE4">
        <w:rPr>
          <w:rFonts w:ascii="Times New Roman" w:hAnsi="Times New Roman" w:cs="Times New Roman"/>
          <w:sz w:val="20"/>
          <w:szCs w:val="20"/>
        </w:rPr>
        <w:t xml:space="preserve">Taken from the World Bank Political Institutions database, </w:t>
      </w:r>
      <w:r w:rsidR="001317F7" w:rsidRPr="00A04F75">
        <w:rPr>
          <w:rFonts w:ascii="Times New Roman" w:hAnsi="Times New Roman" w:cs="Times New Roman"/>
          <w:sz w:val="20"/>
          <w:szCs w:val="20"/>
        </w:rPr>
        <w:t xml:space="preserve">Left </w:t>
      </w:r>
      <w:r w:rsidR="00C10BE4">
        <w:rPr>
          <w:rFonts w:ascii="Times New Roman" w:hAnsi="Times New Roman" w:cs="Times New Roman"/>
          <w:sz w:val="20"/>
          <w:szCs w:val="20"/>
        </w:rPr>
        <w:t xml:space="preserve">governing party </w:t>
      </w:r>
      <w:r w:rsidR="001317F7" w:rsidRPr="00A04F75">
        <w:rPr>
          <w:rFonts w:ascii="Times New Roman" w:hAnsi="Times New Roman" w:cs="Times New Roman"/>
          <w:sz w:val="20"/>
          <w:szCs w:val="20"/>
        </w:rPr>
        <w:t xml:space="preserve">and Right </w:t>
      </w:r>
      <w:r w:rsidR="00C10BE4">
        <w:rPr>
          <w:rFonts w:ascii="Times New Roman" w:hAnsi="Times New Roman" w:cs="Times New Roman"/>
          <w:sz w:val="20"/>
          <w:szCs w:val="20"/>
        </w:rPr>
        <w:t xml:space="preserve">governing party </w:t>
      </w:r>
      <w:r w:rsidR="001317F7" w:rsidRPr="00A04F75">
        <w:rPr>
          <w:rFonts w:ascii="Times New Roman" w:hAnsi="Times New Roman" w:cs="Times New Roman"/>
          <w:sz w:val="20"/>
          <w:szCs w:val="20"/>
        </w:rPr>
        <w:t>are measures of the economic ideology of the governing party (or the party whose leader is head of a coalition) derived from party manifestos.</w:t>
      </w:r>
    </w:p>
    <w:p w14:paraId="06149BF3" w14:textId="77777777" w:rsidR="001317F7" w:rsidRPr="00A04F75" w:rsidRDefault="001317F7" w:rsidP="001317F7">
      <w:pPr>
        <w:rPr>
          <w:rFonts w:ascii="Times New Roman" w:hAnsi="Times New Roman" w:cs="Times New Roman"/>
          <w:sz w:val="20"/>
          <w:szCs w:val="20"/>
        </w:rPr>
      </w:pPr>
      <w:r w:rsidRPr="00A04F75">
        <w:rPr>
          <w:rFonts w:ascii="Times New Roman" w:hAnsi="Times New Roman" w:cs="Times New Roman"/>
          <w:sz w:val="20"/>
          <w:szCs w:val="20"/>
        </w:rPr>
        <w:t>IMF bailouts include</w:t>
      </w:r>
      <w:r w:rsidR="00E26417">
        <w:rPr>
          <w:rFonts w:ascii="Times New Roman" w:hAnsi="Times New Roman" w:cs="Times New Roman"/>
          <w:sz w:val="20"/>
          <w:szCs w:val="20"/>
        </w:rPr>
        <w:t xml:space="preserve"> Stand-by Arrangements, </w:t>
      </w:r>
      <w:r w:rsidRPr="00A04F75">
        <w:rPr>
          <w:rFonts w:ascii="Times New Roman" w:hAnsi="Times New Roman" w:cs="Times New Roman"/>
          <w:sz w:val="20"/>
          <w:szCs w:val="20"/>
        </w:rPr>
        <w:t>usually short-term lending</w:t>
      </w:r>
      <w:r w:rsidR="00E26417">
        <w:rPr>
          <w:rFonts w:ascii="Times New Roman" w:hAnsi="Times New Roman" w:cs="Times New Roman"/>
          <w:sz w:val="20"/>
          <w:szCs w:val="20"/>
        </w:rPr>
        <w:t xml:space="preserve"> to states to cover the effect of unanticipated shocks</w:t>
      </w:r>
      <w:r w:rsidRPr="00A04F75">
        <w:rPr>
          <w:rFonts w:ascii="Times New Roman" w:hAnsi="Times New Roman" w:cs="Times New Roman"/>
          <w:sz w:val="20"/>
          <w:szCs w:val="20"/>
        </w:rPr>
        <w:t>, and Extended Fund Facilities, which are usually medium- or long-term lending programmes aimed at overcoming weakness</w:t>
      </w:r>
      <w:r w:rsidR="00E26417">
        <w:rPr>
          <w:rFonts w:ascii="Times New Roman" w:hAnsi="Times New Roman" w:cs="Times New Roman"/>
          <w:sz w:val="20"/>
          <w:szCs w:val="20"/>
        </w:rPr>
        <w:t>es in the</w:t>
      </w:r>
      <w:r w:rsidR="006D3D69">
        <w:rPr>
          <w:rFonts w:ascii="Times New Roman" w:hAnsi="Times New Roman" w:cs="Times New Roman"/>
          <w:sz w:val="20"/>
          <w:szCs w:val="20"/>
        </w:rPr>
        <w:t xml:space="preserve"> national</w:t>
      </w:r>
      <w:r w:rsidR="00E26417">
        <w:rPr>
          <w:rFonts w:ascii="Times New Roman" w:hAnsi="Times New Roman" w:cs="Times New Roman"/>
          <w:sz w:val="20"/>
          <w:szCs w:val="20"/>
        </w:rPr>
        <w:t xml:space="preserve"> economy which may have precipitated or exacerbated the shock</w:t>
      </w:r>
      <w:r w:rsidRPr="00A04F75">
        <w:rPr>
          <w:rFonts w:ascii="Times New Roman" w:hAnsi="Times New Roman" w:cs="Times New Roman"/>
          <w:sz w:val="20"/>
          <w:szCs w:val="20"/>
        </w:rPr>
        <w:t xml:space="preserve">.   </w:t>
      </w:r>
    </w:p>
    <w:p w14:paraId="5FAF7106" w14:textId="77777777" w:rsidR="001317F7" w:rsidRPr="00A04F75" w:rsidRDefault="001317F7">
      <w:pPr>
        <w:rPr>
          <w:rFonts w:ascii="Times New Roman" w:hAnsi="Times New Roman" w:cs="Times New Roman"/>
          <w:sz w:val="20"/>
          <w:szCs w:val="20"/>
        </w:rPr>
        <w:sectPr w:rsidR="001317F7" w:rsidRPr="00A04F75" w:rsidSect="000F3193">
          <w:pgSz w:w="16838" w:h="11906" w:orient="landscape"/>
          <w:pgMar w:top="1440" w:right="1440" w:bottom="1440" w:left="1440" w:header="708" w:footer="708" w:gutter="0"/>
          <w:cols w:space="708"/>
          <w:docGrid w:linePitch="360"/>
        </w:sectPr>
      </w:pPr>
    </w:p>
    <w:p w14:paraId="688FD269" w14:textId="77777777" w:rsidR="00BE348E" w:rsidRPr="00A04F75" w:rsidRDefault="005B555D" w:rsidP="00BE348E">
      <w:pPr>
        <w:rPr>
          <w:rFonts w:ascii="Times New Roman" w:hAnsi="Times New Roman" w:cs="Times New Roman"/>
          <w:szCs w:val="24"/>
        </w:rPr>
      </w:pPr>
      <w:r w:rsidRPr="00A04F75">
        <w:rPr>
          <w:rFonts w:ascii="Times New Roman" w:hAnsi="Times New Roman" w:cs="Times New Roman"/>
          <w:szCs w:val="24"/>
        </w:rPr>
        <w:t xml:space="preserve">Web Appendix </w:t>
      </w:r>
      <w:r w:rsidR="007D1F11" w:rsidRPr="00A04F75">
        <w:rPr>
          <w:rFonts w:ascii="Times New Roman" w:hAnsi="Times New Roman" w:cs="Times New Roman"/>
          <w:szCs w:val="24"/>
        </w:rPr>
        <w:t>4</w:t>
      </w:r>
      <w:r w:rsidRPr="00A04F75">
        <w:rPr>
          <w:rFonts w:ascii="Times New Roman" w:hAnsi="Times New Roman" w:cs="Times New Roman"/>
          <w:szCs w:val="24"/>
        </w:rPr>
        <w:t>: Fixed effects regression of healthcare austerity controlling for economic and political determinants, 27 EU countries, 1995-2011</w:t>
      </w:r>
    </w:p>
    <w:tbl>
      <w:tblPr>
        <w:tblW w:w="8755" w:type="dxa"/>
        <w:tblLayout w:type="fixed"/>
        <w:tblLook w:val="0000" w:firstRow="0" w:lastRow="0" w:firstColumn="0" w:lastColumn="0" w:noHBand="0" w:noVBand="0"/>
      </w:tblPr>
      <w:tblGrid>
        <w:gridCol w:w="2660"/>
        <w:gridCol w:w="1134"/>
        <w:gridCol w:w="992"/>
        <w:gridCol w:w="992"/>
        <w:gridCol w:w="1007"/>
        <w:gridCol w:w="978"/>
        <w:gridCol w:w="992"/>
      </w:tblGrid>
      <w:tr w:rsidR="00735BB3" w:rsidRPr="00A04F75" w14:paraId="5DBDB35F" w14:textId="77777777" w:rsidTr="00735BB3">
        <w:tc>
          <w:tcPr>
            <w:tcW w:w="2660" w:type="dxa"/>
            <w:tcBorders>
              <w:top w:val="single" w:sz="4" w:space="0" w:color="auto"/>
              <w:left w:val="nil"/>
              <w:right w:val="nil"/>
            </w:tcBorders>
          </w:tcPr>
          <w:p w14:paraId="7088012D" w14:textId="77777777" w:rsidR="00BE348E" w:rsidRPr="00A04F75" w:rsidRDefault="00BE348E" w:rsidP="007B30FB">
            <w:pPr>
              <w:widowControl w:val="0"/>
              <w:autoSpaceDE w:val="0"/>
              <w:autoSpaceDN w:val="0"/>
              <w:adjustRightInd w:val="0"/>
              <w:rPr>
                <w:rFonts w:ascii="Times New Roman" w:hAnsi="Times New Roman" w:cs="Times New Roman"/>
                <w:szCs w:val="24"/>
              </w:rPr>
            </w:pPr>
          </w:p>
        </w:tc>
        <w:tc>
          <w:tcPr>
            <w:tcW w:w="6095" w:type="dxa"/>
            <w:gridSpan w:val="6"/>
            <w:tcBorders>
              <w:top w:val="single" w:sz="4" w:space="0" w:color="auto"/>
              <w:left w:val="nil"/>
              <w:right w:val="nil"/>
            </w:tcBorders>
          </w:tcPr>
          <w:p w14:paraId="2CA1FEEE" w14:textId="77777777" w:rsidR="00BE348E" w:rsidRPr="00A04F75" w:rsidRDefault="005B555D"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Annual change in health spending</w:t>
            </w:r>
            <w:r w:rsidR="00652675" w:rsidRPr="00652675">
              <w:rPr>
                <w:rFonts w:ascii="Times New Roman" w:hAnsi="Times New Roman" w:cs="Times New Roman"/>
                <w:szCs w:val="24"/>
                <w:vertAlign w:val="superscript"/>
              </w:rPr>
              <w:t>†</w:t>
            </w:r>
          </w:p>
        </w:tc>
      </w:tr>
      <w:tr w:rsidR="004F0B92" w:rsidRPr="002F3B34" w14:paraId="0DD248B8" w14:textId="77777777" w:rsidTr="00A84EB0">
        <w:tc>
          <w:tcPr>
            <w:tcW w:w="2660" w:type="dxa"/>
            <w:tcBorders>
              <w:left w:val="nil"/>
              <w:bottom w:val="nil"/>
              <w:right w:val="nil"/>
            </w:tcBorders>
          </w:tcPr>
          <w:p w14:paraId="51972538" w14:textId="77777777" w:rsidR="004F0B92" w:rsidRPr="002F3B34" w:rsidRDefault="004F0B92" w:rsidP="00EA2BF1">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Covariates</w:t>
            </w:r>
          </w:p>
        </w:tc>
        <w:tc>
          <w:tcPr>
            <w:tcW w:w="1134" w:type="dxa"/>
            <w:tcBorders>
              <w:left w:val="nil"/>
              <w:bottom w:val="nil"/>
              <w:right w:val="nil"/>
            </w:tcBorders>
          </w:tcPr>
          <w:p w14:paraId="2E7BA9CA" w14:textId="77777777" w:rsidR="004F0B92" w:rsidRPr="002F3B34" w:rsidRDefault="004F0B92" w:rsidP="00EA2BF1">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w:t>
            </w:r>
          </w:p>
        </w:tc>
        <w:tc>
          <w:tcPr>
            <w:tcW w:w="992" w:type="dxa"/>
            <w:tcBorders>
              <w:left w:val="nil"/>
              <w:bottom w:val="nil"/>
              <w:right w:val="nil"/>
            </w:tcBorders>
          </w:tcPr>
          <w:p w14:paraId="592D790E" w14:textId="77777777" w:rsidR="004F0B92" w:rsidRPr="002F3B34" w:rsidRDefault="004F0B92" w:rsidP="00EA2BF1">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w:t>
            </w:r>
          </w:p>
        </w:tc>
        <w:tc>
          <w:tcPr>
            <w:tcW w:w="992" w:type="dxa"/>
            <w:tcBorders>
              <w:left w:val="nil"/>
              <w:bottom w:val="nil"/>
              <w:right w:val="nil"/>
            </w:tcBorders>
          </w:tcPr>
          <w:p w14:paraId="408A03A6" w14:textId="77777777" w:rsidR="004F0B92" w:rsidRPr="002F3B34" w:rsidRDefault="004F0B92" w:rsidP="00EA2BF1">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w:t>
            </w:r>
          </w:p>
        </w:tc>
        <w:tc>
          <w:tcPr>
            <w:tcW w:w="1007" w:type="dxa"/>
            <w:tcBorders>
              <w:left w:val="nil"/>
              <w:bottom w:val="nil"/>
              <w:right w:val="nil"/>
            </w:tcBorders>
          </w:tcPr>
          <w:p w14:paraId="09BAD0EC" w14:textId="77777777" w:rsidR="004F0B92" w:rsidRPr="002F3B34" w:rsidRDefault="004F0B92" w:rsidP="00EA2BF1">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(4)</w:t>
            </w:r>
          </w:p>
        </w:tc>
        <w:tc>
          <w:tcPr>
            <w:tcW w:w="978" w:type="dxa"/>
            <w:tcBorders>
              <w:left w:val="nil"/>
              <w:bottom w:val="nil"/>
              <w:right w:val="nil"/>
            </w:tcBorders>
          </w:tcPr>
          <w:p w14:paraId="5EEDAA80" w14:textId="77777777" w:rsidR="004F0B92" w:rsidRPr="002F3B34" w:rsidRDefault="005B555D" w:rsidP="00EA2BF1">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(5)</w:t>
            </w:r>
          </w:p>
        </w:tc>
        <w:tc>
          <w:tcPr>
            <w:tcW w:w="992" w:type="dxa"/>
            <w:tcBorders>
              <w:left w:val="nil"/>
              <w:bottom w:val="nil"/>
              <w:right w:val="nil"/>
            </w:tcBorders>
          </w:tcPr>
          <w:p w14:paraId="5EB2D640" w14:textId="77777777" w:rsidR="004F0B92" w:rsidRPr="002F3B34" w:rsidRDefault="005B555D" w:rsidP="00EA2BF1">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(6)</w:t>
            </w:r>
          </w:p>
        </w:tc>
      </w:tr>
      <w:tr w:rsidR="006D3D69" w:rsidRPr="00A04F75" w14:paraId="2B0FC8C0" w14:textId="77777777" w:rsidTr="00735BB3">
        <w:tc>
          <w:tcPr>
            <w:tcW w:w="2660" w:type="dxa"/>
            <w:vMerge w:val="restart"/>
            <w:tcBorders>
              <w:top w:val="single" w:sz="4" w:space="0" w:color="auto"/>
              <w:left w:val="nil"/>
              <w:right w:val="nil"/>
            </w:tcBorders>
          </w:tcPr>
          <w:p w14:paraId="573C6ACC" w14:textId="77777777" w:rsidR="006D3D69" w:rsidRPr="00A04F75" w:rsidRDefault="006D3D69" w:rsidP="007B30FB">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$10 annual increase in GDP</w:t>
            </w:r>
            <w:r w:rsidRPr="00E26417">
              <w:rPr>
                <w:rFonts w:ascii="Times New Roman" w:hAnsi="Times New Roman" w:cs="Times New Roman"/>
                <w:szCs w:val="24"/>
                <w:vertAlign w:val="superscript"/>
              </w:rPr>
              <w:t>†</w:t>
            </w:r>
            <w:r w:rsidRPr="00A04F75">
              <w:rPr>
                <w:rFonts w:ascii="Times New Roman" w:hAnsi="Times New Roman" w:cs="Times New Roman"/>
                <w:szCs w:val="24"/>
              </w:rPr>
              <w:t xml:space="preserve"> </w:t>
            </w:r>
          </w:p>
        </w:tc>
        <w:tc>
          <w:tcPr>
            <w:tcW w:w="1134" w:type="dxa"/>
            <w:tcBorders>
              <w:top w:val="single" w:sz="4" w:space="0" w:color="auto"/>
              <w:left w:val="nil"/>
              <w:bottom w:val="nil"/>
              <w:right w:val="nil"/>
            </w:tcBorders>
          </w:tcPr>
          <w:p w14:paraId="43D9F78A"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0.21</w:t>
            </w:r>
            <w:r w:rsidRPr="00A04F75">
              <w:rPr>
                <w:rFonts w:ascii="Times New Roman" w:hAnsi="Times New Roman" w:cs="Times New Roman"/>
                <w:szCs w:val="24"/>
                <w:vertAlign w:val="superscript"/>
              </w:rPr>
              <w:t>*</w:t>
            </w:r>
          </w:p>
        </w:tc>
        <w:tc>
          <w:tcPr>
            <w:tcW w:w="992" w:type="dxa"/>
            <w:tcBorders>
              <w:top w:val="single" w:sz="4" w:space="0" w:color="auto"/>
              <w:left w:val="nil"/>
              <w:bottom w:val="nil"/>
              <w:right w:val="nil"/>
            </w:tcBorders>
          </w:tcPr>
          <w:p w14:paraId="1BFA4466"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0.19</w:t>
            </w:r>
            <w:r w:rsidRPr="00A04F75">
              <w:rPr>
                <w:rFonts w:ascii="Times New Roman" w:hAnsi="Times New Roman" w:cs="Times New Roman"/>
                <w:szCs w:val="24"/>
                <w:vertAlign w:val="superscript"/>
              </w:rPr>
              <w:t>*</w:t>
            </w:r>
          </w:p>
        </w:tc>
        <w:tc>
          <w:tcPr>
            <w:tcW w:w="992" w:type="dxa"/>
            <w:tcBorders>
              <w:top w:val="single" w:sz="4" w:space="0" w:color="auto"/>
              <w:left w:val="nil"/>
              <w:bottom w:val="nil"/>
              <w:right w:val="nil"/>
            </w:tcBorders>
          </w:tcPr>
          <w:p w14:paraId="6B1EB9AB"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0.18</w:t>
            </w:r>
          </w:p>
        </w:tc>
        <w:tc>
          <w:tcPr>
            <w:tcW w:w="1007" w:type="dxa"/>
            <w:tcBorders>
              <w:top w:val="single" w:sz="4" w:space="0" w:color="auto"/>
              <w:left w:val="nil"/>
              <w:bottom w:val="nil"/>
              <w:right w:val="nil"/>
            </w:tcBorders>
          </w:tcPr>
          <w:p w14:paraId="14C5D34E"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978" w:type="dxa"/>
            <w:tcBorders>
              <w:top w:val="single" w:sz="4" w:space="0" w:color="auto"/>
              <w:left w:val="nil"/>
              <w:bottom w:val="nil"/>
              <w:right w:val="nil"/>
            </w:tcBorders>
          </w:tcPr>
          <w:p w14:paraId="04480652"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992" w:type="dxa"/>
            <w:tcBorders>
              <w:top w:val="single" w:sz="4" w:space="0" w:color="auto"/>
              <w:left w:val="nil"/>
              <w:bottom w:val="nil"/>
              <w:right w:val="nil"/>
            </w:tcBorders>
          </w:tcPr>
          <w:p w14:paraId="5A2726FE"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0.089</w:t>
            </w:r>
          </w:p>
        </w:tc>
      </w:tr>
      <w:tr w:rsidR="006D3D69" w:rsidRPr="00A04F75" w14:paraId="6F369DFB" w14:textId="77777777" w:rsidTr="00735BB3">
        <w:tc>
          <w:tcPr>
            <w:tcW w:w="2660" w:type="dxa"/>
            <w:vMerge/>
            <w:tcBorders>
              <w:left w:val="nil"/>
              <w:right w:val="nil"/>
            </w:tcBorders>
          </w:tcPr>
          <w:p w14:paraId="17952580" w14:textId="77777777" w:rsidR="006D3D69" w:rsidRPr="00A04F75" w:rsidRDefault="006D3D69"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4FCC585F"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(0.100)</w:t>
            </w:r>
          </w:p>
        </w:tc>
        <w:tc>
          <w:tcPr>
            <w:tcW w:w="992" w:type="dxa"/>
            <w:tcBorders>
              <w:top w:val="nil"/>
              <w:left w:val="nil"/>
              <w:bottom w:val="nil"/>
              <w:right w:val="nil"/>
            </w:tcBorders>
          </w:tcPr>
          <w:p w14:paraId="6D67092E"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(0.090)</w:t>
            </w:r>
          </w:p>
        </w:tc>
        <w:tc>
          <w:tcPr>
            <w:tcW w:w="992" w:type="dxa"/>
            <w:tcBorders>
              <w:top w:val="nil"/>
              <w:left w:val="nil"/>
              <w:bottom w:val="nil"/>
              <w:right w:val="nil"/>
            </w:tcBorders>
          </w:tcPr>
          <w:p w14:paraId="24D80D4B"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(0.093)</w:t>
            </w:r>
          </w:p>
        </w:tc>
        <w:tc>
          <w:tcPr>
            <w:tcW w:w="1007" w:type="dxa"/>
            <w:tcBorders>
              <w:top w:val="nil"/>
              <w:left w:val="nil"/>
              <w:bottom w:val="nil"/>
              <w:right w:val="nil"/>
            </w:tcBorders>
          </w:tcPr>
          <w:p w14:paraId="0F82B929"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(0.082)</w:t>
            </w:r>
          </w:p>
        </w:tc>
        <w:tc>
          <w:tcPr>
            <w:tcW w:w="978" w:type="dxa"/>
            <w:tcBorders>
              <w:top w:val="nil"/>
              <w:left w:val="nil"/>
              <w:bottom w:val="nil"/>
              <w:right w:val="nil"/>
            </w:tcBorders>
          </w:tcPr>
          <w:p w14:paraId="2506153D" w14:textId="77777777" w:rsidR="006D3D69" w:rsidRPr="00A04F75" w:rsidRDefault="006D3D69" w:rsidP="007B30FB">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(0.082)</w:t>
            </w:r>
          </w:p>
        </w:tc>
        <w:tc>
          <w:tcPr>
            <w:tcW w:w="992" w:type="dxa"/>
            <w:tcBorders>
              <w:top w:val="nil"/>
              <w:left w:val="nil"/>
              <w:bottom w:val="nil"/>
              <w:right w:val="nil"/>
            </w:tcBorders>
          </w:tcPr>
          <w:p w14:paraId="7569999A" w14:textId="77777777" w:rsidR="006F0649" w:rsidRDefault="006D3D69">
            <w:pPr>
              <w:widowControl w:val="0"/>
              <w:tabs>
                <w:tab w:val="left" w:pos="776"/>
              </w:tabs>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(0.084)</w:t>
            </w:r>
          </w:p>
        </w:tc>
      </w:tr>
      <w:tr w:rsidR="00BE348E" w:rsidRPr="002F3B34" w14:paraId="497BA673" w14:textId="77777777" w:rsidTr="00A84EB0">
        <w:tc>
          <w:tcPr>
            <w:tcW w:w="2660" w:type="dxa"/>
            <w:tcBorders>
              <w:left w:val="nil"/>
              <w:bottom w:val="nil"/>
              <w:right w:val="nil"/>
            </w:tcBorders>
          </w:tcPr>
          <w:p w14:paraId="1D579BE6"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450487D1"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59DB3EC8"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4B046109"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007" w:type="dxa"/>
            <w:tcBorders>
              <w:top w:val="nil"/>
              <w:left w:val="nil"/>
              <w:bottom w:val="nil"/>
              <w:right w:val="nil"/>
            </w:tcBorders>
          </w:tcPr>
          <w:p w14:paraId="020B8312"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78" w:type="dxa"/>
            <w:tcBorders>
              <w:top w:val="nil"/>
              <w:left w:val="nil"/>
              <w:bottom w:val="nil"/>
              <w:right w:val="nil"/>
            </w:tcBorders>
          </w:tcPr>
          <w:p w14:paraId="0EAFF321"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0F0EE534"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r>
      <w:tr w:rsidR="00BE348E" w:rsidRPr="002F3B34" w14:paraId="074A8C9B" w14:textId="77777777" w:rsidTr="00A84EB0">
        <w:tc>
          <w:tcPr>
            <w:tcW w:w="2660" w:type="dxa"/>
            <w:vMerge w:val="restart"/>
            <w:tcBorders>
              <w:top w:val="nil"/>
              <w:left w:val="nil"/>
              <w:right w:val="nil"/>
            </w:tcBorders>
          </w:tcPr>
          <w:p w14:paraId="27AD6A36" w14:textId="77777777" w:rsidR="00BE348E" w:rsidRPr="002F3B34" w:rsidRDefault="00BE348E" w:rsidP="007B30FB">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 xml:space="preserve">$100 </w:t>
            </w:r>
            <w:r w:rsidR="006D3D69">
              <w:rPr>
                <w:rFonts w:ascii="Times New Roman" w:hAnsi="Times New Roman" w:cs="Times New Roman"/>
                <w:szCs w:val="24"/>
              </w:rPr>
              <w:t xml:space="preserve">annual </w:t>
            </w:r>
            <w:r w:rsidRPr="002F3B34">
              <w:rPr>
                <w:rFonts w:ascii="Times New Roman" w:hAnsi="Times New Roman" w:cs="Times New Roman"/>
                <w:szCs w:val="24"/>
              </w:rPr>
              <w:t xml:space="preserve">increase in </w:t>
            </w:r>
            <w:r w:rsidR="006D3D69">
              <w:rPr>
                <w:rFonts w:ascii="Times New Roman" w:hAnsi="Times New Roman" w:cs="Times New Roman"/>
                <w:szCs w:val="24"/>
              </w:rPr>
              <w:t>t</w:t>
            </w:r>
            <w:r w:rsidR="006D3D69" w:rsidRPr="00A04F75">
              <w:rPr>
                <w:rFonts w:ascii="Times New Roman" w:hAnsi="Times New Roman" w:cs="Times New Roman"/>
                <w:szCs w:val="24"/>
              </w:rPr>
              <w:t>ax</w:t>
            </w:r>
            <w:r w:rsidRPr="002F3B34">
              <w:rPr>
                <w:rFonts w:ascii="Times New Roman" w:hAnsi="Times New Roman" w:cs="Times New Roman"/>
                <w:szCs w:val="24"/>
              </w:rPr>
              <w:t xml:space="preserve"> revenue</w:t>
            </w:r>
            <w:r w:rsidR="006D3D69" w:rsidRPr="00E26417">
              <w:rPr>
                <w:rFonts w:ascii="Times New Roman" w:hAnsi="Times New Roman" w:cs="Times New Roman"/>
                <w:szCs w:val="24"/>
                <w:vertAlign w:val="superscript"/>
              </w:rPr>
              <w:t>†</w:t>
            </w:r>
          </w:p>
        </w:tc>
        <w:tc>
          <w:tcPr>
            <w:tcW w:w="1134" w:type="dxa"/>
            <w:tcBorders>
              <w:top w:val="nil"/>
              <w:left w:val="nil"/>
              <w:bottom w:val="nil"/>
              <w:right w:val="nil"/>
            </w:tcBorders>
          </w:tcPr>
          <w:p w14:paraId="42D06AB1"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5099D04E"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w:t>
            </w:r>
            <w:r w:rsidR="006D3D69" w:rsidRPr="00A04F75">
              <w:rPr>
                <w:rFonts w:ascii="Times New Roman" w:hAnsi="Times New Roman" w:cs="Times New Roman"/>
                <w:szCs w:val="24"/>
              </w:rPr>
              <w:t>50</w:t>
            </w:r>
            <w:r w:rsidR="006D3D69" w:rsidRPr="00A04F75">
              <w:rPr>
                <w:rFonts w:ascii="Times New Roman" w:hAnsi="Times New Roman" w:cs="Times New Roman"/>
                <w:szCs w:val="24"/>
                <w:vertAlign w:val="superscript"/>
              </w:rPr>
              <w:t>*</w:t>
            </w:r>
          </w:p>
        </w:tc>
        <w:tc>
          <w:tcPr>
            <w:tcW w:w="992" w:type="dxa"/>
            <w:tcBorders>
              <w:top w:val="nil"/>
              <w:left w:val="nil"/>
              <w:bottom w:val="nil"/>
              <w:right w:val="nil"/>
            </w:tcBorders>
          </w:tcPr>
          <w:p w14:paraId="37D92F88"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3.34</w:t>
            </w:r>
            <w:r w:rsidRPr="00A84EB0">
              <w:rPr>
                <w:rFonts w:ascii="Times New Roman" w:hAnsi="Times New Roman"/>
                <w:vertAlign w:val="superscript"/>
              </w:rPr>
              <w:t>*</w:t>
            </w:r>
          </w:p>
        </w:tc>
        <w:tc>
          <w:tcPr>
            <w:tcW w:w="1007" w:type="dxa"/>
            <w:tcBorders>
              <w:top w:val="nil"/>
              <w:left w:val="nil"/>
              <w:bottom w:val="nil"/>
              <w:right w:val="nil"/>
            </w:tcBorders>
          </w:tcPr>
          <w:p w14:paraId="22013D2A"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2.80</w:t>
            </w:r>
            <w:r w:rsidRPr="00A84EB0">
              <w:rPr>
                <w:rFonts w:ascii="Times New Roman" w:hAnsi="Times New Roman"/>
                <w:vertAlign w:val="superscript"/>
              </w:rPr>
              <w:t>**</w:t>
            </w:r>
          </w:p>
        </w:tc>
        <w:tc>
          <w:tcPr>
            <w:tcW w:w="978" w:type="dxa"/>
            <w:tcBorders>
              <w:top w:val="nil"/>
              <w:left w:val="nil"/>
              <w:bottom w:val="nil"/>
              <w:right w:val="nil"/>
            </w:tcBorders>
          </w:tcPr>
          <w:p w14:paraId="2494360C"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2.81</w:t>
            </w:r>
            <w:r w:rsidRPr="00A84EB0">
              <w:rPr>
                <w:rFonts w:ascii="Times New Roman" w:hAnsi="Times New Roman"/>
                <w:vertAlign w:val="superscript"/>
              </w:rPr>
              <w:t>**</w:t>
            </w:r>
          </w:p>
        </w:tc>
        <w:tc>
          <w:tcPr>
            <w:tcW w:w="992" w:type="dxa"/>
            <w:tcBorders>
              <w:top w:val="nil"/>
              <w:left w:val="nil"/>
              <w:bottom w:val="nil"/>
              <w:right w:val="nil"/>
            </w:tcBorders>
          </w:tcPr>
          <w:p w14:paraId="64EA3044"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2.74</w:t>
            </w:r>
            <w:r w:rsidRPr="00A84EB0">
              <w:rPr>
                <w:rFonts w:ascii="Times New Roman" w:hAnsi="Times New Roman"/>
                <w:vertAlign w:val="superscript"/>
              </w:rPr>
              <w:t>**</w:t>
            </w:r>
          </w:p>
        </w:tc>
      </w:tr>
      <w:tr w:rsidR="00BE348E" w:rsidRPr="002F3B34" w14:paraId="32AA6225" w14:textId="77777777" w:rsidTr="00A84EB0">
        <w:tc>
          <w:tcPr>
            <w:tcW w:w="2660" w:type="dxa"/>
            <w:vMerge/>
            <w:tcBorders>
              <w:left w:val="nil"/>
              <w:bottom w:val="nil"/>
              <w:right w:val="nil"/>
            </w:tcBorders>
          </w:tcPr>
          <w:p w14:paraId="5200B900"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00C612AA"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49C6B92E"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w:t>
            </w:r>
            <w:r w:rsidR="006D3D69" w:rsidRPr="00A04F75">
              <w:rPr>
                <w:rFonts w:ascii="Times New Roman" w:hAnsi="Times New Roman" w:cs="Times New Roman"/>
                <w:szCs w:val="24"/>
              </w:rPr>
              <w:t>28</w:t>
            </w:r>
            <w:r w:rsidRPr="002F3B34">
              <w:rPr>
                <w:rFonts w:ascii="Times New Roman" w:hAnsi="Times New Roman" w:cs="Times New Roman"/>
                <w:szCs w:val="24"/>
              </w:rPr>
              <w:t>)</w:t>
            </w:r>
          </w:p>
        </w:tc>
        <w:tc>
          <w:tcPr>
            <w:tcW w:w="992" w:type="dxa"/>
            <w:tcBorders>
              <w:top w:val="nil"/>
              <w:left w:val="nil"/>
              <w:bottom w:val="nil"/>
              <w:right w:val="nil"/>
            </w:tcBorders>
          </w:tcPr>
          <w:p w14:paraId="67BB071B"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(1.29)</w:t>
            </w:r>
          </w:p>
        </w:tc>
        <w:tc>
          <w:tcPr>
            <w:tcW w:w="1007" w:type="dxa"/>
            <w:tcBorders>
              <w:top w:val="nil"/>
              <w:left w:val="nil"/>
              <w:bottom w:val="nil"/>
              <w:right w:val="nil"/>
            </w:tcBorders>
          </w:tcPr>
          <w:p w14:paraId="0D0C839C"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(0.93)</w:t>
            </w:r>
          </w:p>
        </w:tc>
        <w:tc>
          <w:tcPr>
            <w:tcW w:w="978" w:type="dxa"/>
            <w:tcBorders>
              <w:top w:val="nil"/>
              <w:left w:val="nil"/>
              <w:bottom w:val="nil"/>
              <w:right w:val="nil"/>
            </w:tcBorders>
          </w:tcPr>
          <w:p w14:paraId="3421A142"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(0.94)</w:t>
            </w:r>
          </w:p>
        </w:tc>
        <w:tc>
          <w:tcPr>
            <w:tcW w:w="992" w:type="dxa"/>
            <w:tcBorders>
              <w:top w:val="nil"/>
              <w:left w:val="nil"/>
              <w:bottom w:val="nil"/>
              <w:right w:val="nil"/>
            </w:tcBorders>
          </w:tcPr>
          <w:p w14:paraId="0934338D"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(0.92)</w:t>
            </w:r>
          </w:p>
        </w:tc>
      </w:tr>
      <w:tr w:rsidR="00BE348E" w:rsidRPr="002F3B34" w14:paraId="4949FAD0" w14:textId="77777777" w:rsidTr="00A84EB0">
        <w:tc>
          <w:tcPr>
            <w:tcW w:w="2660" w:type="dxa"/>
            <w:tcBorders>
              <w:top w:val="nil"/>
              <w:left w:val="nil"/>
              <w:bottom w:val="nil"/>
              <w:right w:val="nil"/>
            </w:tcBorders>
          </w:tcPr>
          <w:p w14:paraId="4D83E894"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587E4603"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7F50CF88"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5A368A91"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007" w:type="dxa"/>
            <w:tcBorders>
              <w:top w:val="nil"/>
              <w:left w:val="nil"/>
              <w:bottom w:val="nil"/>
              <w:right w:val="nil"/>
            </w:tcBorders>
          </w:tcPr>
          <w:p w14:paraId="796EC7BF"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78" w:type="dxa"/>
            <w:tcBorders>
              <w:top w:val="nil"/>
              <w:left w:val="nil"/>
              <w:bottom w:val="nil"/>
              <w:right w:val="nil"/>
            </w:tcBorders>
          </w:tcPr>
          <w:p w14:paraId="29F1D9E2"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3E40715E"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r>
      <w:tr w:rsidR="00BE348E" w:rsidRPr="002F3B34" w14:paraId="47774F67" w14:textId="77777777" w:rsidTr="00A84EB0">
        <w:tc>
          <w:tcPr>
            <w:tcW w:w="2660" w:type="dxa"/>
            <w:vMerge w:val="restart"/>
            <w:tcBorders>
              <w:top w:val="nil"/>
              <w:left w:val="nil"/>
              <w:right w:val="nil"/>
            </w:tcBorders>
          </w:tcPr>
          <w:p w14:paraId="3627EB55" w14:textId="77777777" w:rsidR="00BE348E" w:rsidRPr="002F3B34" w:rsidRDefault="006D3D69" w:rsidP="007B30FB">
            <w:pPr>
              <w:widowControl w:val="0"/>
              <w:autoSpaceDE w:val="0"/>
              <w:autoSpaceDN w:val="0"/>
              <w:adjustRightInd w:val="0"/>
              <w:rPr>
                <w:rFonts w:ascii="Times New Roman" w:hAnsi="Times New Roman" w:cs="Times New Roman"/>
                <w:szCs w:val="24"/>
              </w:rPr>
            </w:pPr>
            <w:r>
              <w:rPr>
                <w:rFonts w:ascii="Times New Roman" w:hAnsi="Times New Roman" w:cs="Times New Roman"/>
                <w:szCs w:val="24"/>
              </w:rPr>
              <w:t>Public</w:t>
            </w:r>
            <w:r w:rsidR="00BE348E" w:rsidRPr="002F3B34">
              <w:rPr>
                <w:rFonts w:ascii="Times New Roman" w:hAnsi="Times New Roman" w:cs="Times New Roman"/>
                <w:szCs w:val="24"/>
              </w:rPr>
              <w:t xml:space="preserve"> debt </w:t>
            </w:r>
            <w:r>
              <w:rPr>
                <w:rFonts w:ascii="Times New Roman" w:hAnsi="Times New Roman" w:cs="Times New Roman"/>
                <w:szCs w:val="24"/>
              </w:rPr>
              <w:t xml:space="preserve">as percentage of </w:t>
            </w:r>
            <w:r w:rsidR="00BE348E" w:rsidRPr="002F3B34">
              <w:rPr>
                <w:rFonts w:ascii="Times New Roman" w:hAnsi="Times New Roman" w:cs="Times New Roman"/>
                <w:szCs w:val="24"/>
              </w:rPr>
              <w:t xml:space="preserve">GDP in </w:t>
            </w:r>
            <w:r>
              <w:rPr>
                <w:rFonts w:ascii="Times New Roman" w:hAnsi="Times New Roman" w:cs="Times New Roman"/>
                <w:szCs w:val="24"/>
              </w:rPr>
              <w:t>the previous year</w:t>
            </w:r>
          </w:p>
        </w:tc>
        <w:tc>
          <w:tcPr>
            <w:tcW w:w="1134" w:type="dxa"/>
            <w:tcBorders>
              <w:top w:val="nil"/>
              <w:left w:val="nil"/>
              <w:bottom w:val="nil"/>
              <w:right w:val="nil"/>
            </w:tcBorders>
          </w:tcPr>
          <w:p w14:paraId="347BF9B1"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1326BEAA"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506D3E8C"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-1.95</w:t>
            </w:r>
            <w:r w:rsidRPr="00A84EB0">
              <w:rPr>
                <w:rFonts w:ascii="Times New Roman" w:hAnsi="Times New Roman"/>
                <w:vertAlign w:val="superscript"/>
              </w:rPr>
              <w:t>**</w:t>
            </w:r>
          </w:p>
        </w:tc>
        <w:tc>
          <w:tcPr>
            <w:tcW w:w="1007" w:type="dxa"/>
            <w:tcBorders>
              <w:top w:val="nil"/>
              <w:left w:val="nil"/>
              <w:bottom w:val="nil"/>
              <w:right w:val="nil"/>
            </w:tcBorders>
          </w:tcPr>
          <w:p w14:paraId="0A0562F2"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-1.54</w:t>
            </w:r>
            <w:r w:rsidRPr="00A84EB0">
              <w:rPr>
                <w:rFonts w:ascii="Times New Roman" w:hAnsi="Times New Roman"/>
                <w:vertAlign w:val="superscript"/>
              </w:rPr>
              <w:t>**</w:t>
            </w:r>
          </w:p>
        </w:tc>
        <w:tc>
          <w:tcPr>
            <w:tcW w:w="978" w:type="dxa"/>
            <w:tcBorders>
              <w:top w:val="nil"/>
              <w:left w:val="nil"/>
              <w:bottom w:val="nil"/>
              <w:right w:val="nil"/>
            </w:tcBorders>
          </w:tcPr>
          <w:p w14:paraId="0BB1887A"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-1.55</w:t>
            </w:r>
            <w:r w:rsidRPr="00A84EB0">
              <w:rPr>
                <w:rFonts w:ascii="Times New Roman" w:hAnsi="Times New Roman"/>
                <w:vertAlign w:val="superscript"/>
              </w:rPr>
              <w:t>**</w:t>
            </w:r>
          </w:p>
        </w:tc>
        <w:tc>
          <w:tcPr>
            <w:tcW w:w="992" w:type="dxa"/>
            <w:tcBorders>
              <w:top w:val="nil"/>
              <w:left w:val="nil"/>
              <w:bottom w:val="nil"/>
              <w:right w:val="nil"/>
            </w:tcBorders>
          </w:tcPr>
          <w:p w14:paraId="34CD6A64"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-1.87</w:t>
            </w:r>
            <w:r w:rsidRPr="00A84EB0">
              <w:rPr>
                <w:rFonts w:ascii="Times New Roman" w:hAnsi="Times New Roman"/>
                <w:vertAlign w:val="superscript"/>
              </w:rPr>
              <w:t>**</w:t>
            </w:r>
          </w:p>
        </w:tc>
      </w:tr>
      <w:tr w:rsidR="00BE348E" w:rsidRPr="002F3B34" w14:paraId="4BFB7932" w14:textId="77777777" w:rsidTr="00A84EB0">
        <w:tc>
          <w:tcPr>
            <w:tcW w:w="2660" w:type="dxa"/>
            <w:vMerge/>
            <w:tcBorders>
              <w:left w:val="nil"/>
              <w:bottom w:val="nil"/>
              <w:right w:val="nil"/>
            </w:tcBorders>
          </w:tcPr>
          <w:p w14:paraId="472DEA6D"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4787206E"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25F3E4B8"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189A28A2"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(0.68)</w:t>
            </w:r>
          </w:p>
        </w:tc>
        <w:tc>
          <w:tcPr>
            <w:tcW w:w="1007" w:type="dxa"/>
            <w:tcBorders>
              <w:top w:val="nil"/>
              <w:left w:val="nil"/>
              <w:bottom w:val="nil"/>
              <w:right w:val="nil"/>
            </w:tcBorders>
          </w:tcPr>
          <w:p w14:paraId="6D1594C2"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(0.51)</w:t>
            </w:r>
          </w:p>
        </w:tc>
        <w:tc>
          <w:tcPr>
            <w:tcW w:w="978" w:type="dxa"/>
            <w:tcBorders>
              <w:top w:val="nil"/>
              <w:left w:val="nil"/>
              <w:bottom w:val="nil"/>
              <w:right w:val="nil"/>
            </w:tcBorders>
          </w:tcPr>
          <w:p w14:paraId="6FF8C25F"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(0.46)</w:t>
            </w:r>
          </w:p>
        </w:tc>
        <w:tc>
          <w:tcPr>
            <w:tcW w:w="992" w:type="dxa"/>
            <w:tcBorders>
              <w:top w:val="nil"/>
              <w:left w:val="nil"/>
              <w:bottom w:val="nil"/>
              <w:right w:val="nil"/>
            </w:tcBorders>
          </w:tcPr>
          <w:p w14:paraId="3545A5EE"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(0.39)</w:t>
            </w:r>
          </w:p>
        </w:tc>
      </w:tr>
      <w:tr w:rsidR="00BE348E" w:rsidRPr="002F3B34" w14:paraId="6FCC2F56" w14:textId="77777777" w:rsidTr="00A84EB0">
        <w:tc>
          <w:tcPr>
            <w:tcW w:w="2660" w:type="dxa"/>
            <w:tcBorders>
              <w:top w:val="nil"/>
              <w:left w:val="nil"/>
              <w:bottom w:val="nil"/>
              <w:right w:val="nil"/>
            </w:tcBorders>
          </w:tcPr>
          <w:p w14:paraId="096555EC"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0F9E01A6"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3BB1F8A6"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359CCCC0"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007" w:type="dxa"/>
            <w:tcBorders>
              <w:top w:val="nil"/>
              <w:left w:val="nil"/>
              <w:bottom w:val="nil"/>
              <w:right w:val="nil"/>
            </w:tcBorders>
          </w:tcPr>
          <w:p w14:paraId="5B67B06C"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78" w:type="dxa"/>
            <w:tcBorders>
              <w:top w:val="nil"/>
              <w:left w:val="nil"/>
              <w:bottom w:val="nil"/>
              <w:right w:val="nil"/>
            </w:tcBorders>
          </w:tcPr>
          <w:p w14:paraId="33E814CC"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6972AFB9"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r>
      <w:tr w:rsidR="00BE348E" w:rsidRPr="002F3B34" w14:paraId="72501994" w14:textId="77777777" w:rsidTr="00A84EB0">
        <w:tc>
          <w:tcPr>
            <w:tcW w:w="2660" w:type="dxa"/>
            <w:vMerge w:val="restart"/>
            <w:tcBorders>
              <w:top w:val="nil"/>
              <w:left w:val="nil"/>
              <w:right w:val="nil"/>
            </w:tcBorders>
          </w:tcPr>
          <w:p w14:paraId="0740DC00" w14:textId="77777777" w:rsidR="00BE348E" w:rsidRPr="002F3B34" w:rsidRDefault="00BE348E" w:rsidP="007B30FB">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 xml:space="preserve">Implemented austerity in </w:t>
            </w:r>
            <w:r w:rsidR="006D3D69">
              <w:rPr>
                <w:rFonts w:ascii="Times New Roman" w:hAnsi="Times New Roman" w:cs="Times New Roman"/>
                <w:szCs w:val="24"/>
              </w:rPr>
              <w:t>current year</w:t>
            </w:r>
          </w:p>
        </w:tc>
        <w:tc>
          <w:tcPr>
            <w:tcW w:w="1134" w:type="dxa"/>
            <w:tcBorders>
              <w:top w:val="nil"/>
              <w:left w:val="nil"/>
              <w:bottom w:val="nil"/>
              <w:right w:val="nil"/>
            </w:tcBorders>
          </w:tcPr>
          <w:p w14:paraId="5E4492E3"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07C3F2B9"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03435809"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1007" w:type="dxa"/>
            <w:tcBorders>
              <w:top w:val="nil"/>
              <w:left w:val="nil"/>
              <w:bottom w:val="nil"/>
              <w:right w:val="nil"/>
            </w:tcBorders>
          </w:tcPr>
          <w:p w14:paraId="499506EB"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-60.4</w:t>
            </w:r>
            <w:r w:rsidRPr="00A84EB0">
              <w:rPr>
                <w:rFonts w:ascii="Times New Roman" w:hAnsi="Times New Roman"/>
                <w:vertAlign w:val="superscript"/>
              </w:rPr>
              <w:t>**</w:t>
            </w:r>
          </w:p>
        </w:tc>
        <w:tc>
          <w:tcPr>
            <w:tcW w:w="978" w:type="dxa"/>
            <w:tcBorders>
              <w:top w:val="nil"/>
              <w:left w:val="nil"/>
              <w:bottom w:val="nil"/>
              <w:right w:val="nil"/>
            </w:tcBorders>
          </w:tcPr>
          <w:p w14:paraId="7537414F"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-60.3</w:t>
            </w:r>
            <w:r w:rsidRPr="00A84EB0">
              <w:rPr>
                <w:rFonts w:ascii="Times New Roman" w:hAnsi="Times New Roman"/>
                <w:vertAlign w:val="superscript"/>
              </w:rPr>
              <w:t>**</w:t>
            </w:r>
          </w:p>
        </w:tc>
        <w:tc>
          <w:tcPr>
            <w:tcW w:w="992" w:type="dxa"/>
            <w:tcBorders>
              <w:top w:val="nil"/>
              <w:left w:val="nil"/>
              <w:bottom w:val="nil"/>
              <w:right w:val="nil"/>
            </w:tcBorders>
          </w:tcPr>
          <w:p w14:paraId="63D15FAB"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-63.9</w:t>
            </w:r>
            <w:r w:rsidRPr="00A84EB0">
              <w:rPr>
                <w:rFonts w:ascii="Times New Roman" w:hAnsi="Times New Roman"/>
                <w:vertAlign w:val="superscript"/>
              </w:rPr>
              <w:t>**</w:t>
            </w:r>
          </w:p>
        </w:tc>
      </w:tr>
      <w:tr w:rsidR="00BE348E" w:rsidRPr="002F3B34" w14:paraId="245E4E6B" w14:textId="77777777" w:rsidTr="00A84EB0">
        <w:tc>
          <w:tcPr>
            <w:tcW w:w="2660" w:type="dxa"/>
            <w:vMerge/>
            <w:tcBorders>
              <w:left w:val="nil"/>
              <w:bottom w:val="nil"/>
              <w:right w:val="nil"/>
            </w:tcBorders>
          </w:tcPr>
          <w:p w14:paraId="05F249A4"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3AFFCA42"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01FF09DE"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302A2C7E"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1007" w:type="dxa"/>
            <w:tcBorders>
              <w:top w:val="nil"/>
              <w:left w:val="nil"/>
              <w:bottom w:val="nil"/>
              <w:right w:val="nil"/>
            </w:tcBorders>
          </w:tcPr>
          <w:p w14:paraId="5CF9A302"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(11.8)</w:t>
            </w:r>
          </w:p>
        </w:tc>
        <w:tc>
          <w:tcPr>
            <w:tcW w:w="978" w:type="dxa"/>
            <w:tcBorders>
              <w:top w:val="nil"/>
              <w:left w:val="nil"/>
              <w:bottom w:val="nil"/>
              <w:right w:val="nil"/>
            </w:tcBorders>
          </w:tcPr>
          <w:p w14:paraId="6FEF6E46"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(11.8)</w:t>
            </w:r>
          </w:p>
        </w:tc>
        <w:tc>
          <w:tcPr>
            <w:tcW w:w="992" w:type="dxa"/>
            <w:tcBorders>
              <w:top w:val="nil"/>
              <w:left w:val="nil"/>
              <w:bottom w:val="nil"/>
              <w:right w:val="nil"/>
            </w:tcBorders>
          </w:tcPr>
          <w:p w14:paraId="4F665882"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(13.0)</w:t>
            </w:r>
          </w:p>
        </w:tc>
      </w:tr>
      <w:tr w:rsidR="00BE348E" w:rsidRPr="002F3B34" w14:paraId="6ED0BC79" w14:textId="77777777" w:rsidTr="00A84EB0">
        <w:tc>
          <w:tcPr>
            <w:tcW w:w="2660" w:type="dxa"/>
            <w:tcBorders>
              <w:top w:val="nil"/>
              <w:left w:val="nil"/>
              <w:bottom w:val="nil"/>
              <w:right w:val="nil"/>
            </w:tcBorders>
          </w:tcPr>
          <w:p w14:paraId="50F31485"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18670E42"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449AA895"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7C423537"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007" w:type="dxa"/>
            <w:tcBorders>
              <w:top w:val="nil"/>
              <w:left w:val="nil"/>
              <w:bottom w:val="nil"/>
              <w:right w:val="nil"/>
            </w:tcBorders>
          </w:tcPr>
          <w:p w14:paraId="13007E10"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78" w:type="dxa"/>
            <w:tcBorders>
              <w:top w:val="nil"/>
              <w:left w:val="nil"/>
              <w:bottom w:val="nil"/>
              <w:right w:val="nil"/>
            </w:tcBorders>
          </w:tcPr>
          <w:p w14:paraId="14F0E1B0"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780EE76A"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r>
      <w:tr w:rsidR="00BE348E" w:rsidRPr="002F3B34" w14:paraId="3DE1AB76" w14:textId="77777777" w:rsidTr="00A84EB0">
        <w:tc>
          <w:tcPr>
            <w:tcW w:w="2660" w:type="dxa"/>
            <w:vMerge w:val="restart"/>
            <w:tcBorders>
              <w:top w:val="nil"/>
              <w:left w:val="nil"/>
              <w:right w:val="nil"/>
            </w:tcBorders>
          </w:tcPr>
          <w:p w14:paraId="58DB6E9C" w14:textId="77777777" w:rsidR="00BE348E" w:rsidRPr="002F3B34" w:rsidRDefault="00BE348E" w:rsidP="007B30FB">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 xml:space="preserve">IMF bailout active in </w:t>
            </w:r>
            <w:r w:rsidR="006D3D69">
              <w:rPr>
                <w:rFonts w:ascii="Times New Roman" w:hAnsi="Times New Roman" w:cs="Times New Roman"/>
                <w:szCs w:val="24"/>
              </w:rPr>
              <w:t>current year</w:t>
            </w:r>
            <w:r w:rsidRPr="002F3B34">
              <w:rPr>
                <w:rFonts w:ascii="Times New Roman" w:hAnsi="Times New Roman" w:cs="Times New Roman"/>
                <w:szCs w:val="24"/>
              </w:rPr>
              <w:t xml:space="preserve"> </w:t>
            </w:r>
          </w:p>
        </w:tc>
        <w:tc>
          <w:tcPr>
            <w:tcW w:w="1134" w:type="dxa"/>
            <w:tcBorders>
              <w:top w:val="nil"/>
              <w:left w:val="nil"/>
              <w:bottom w:val="nil"/>
              <w:right w:val="nil"/>
            </w:tcBorders>
          </w:tcPr>
          <w:p w14:paraId="752F2BDD"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2DB2AB48"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3A61B582"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1007" w:type="dxa"/>
            <w:tcBorders>
              <w:top w:val="nil"/>
              <w:left w:val="nil"/>
              <w:bottom w:val="nil"/>
              <w:right w:val="nil"/>
            </w:tcBorders>
          </w:tcPr>
          <w:p w14:paraId="517D1996"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78" w:type="dxa"/>
            <w:tcBorders>
              <w:top w:val="nil"/>
              <w:left w:val="nil"/>
              <w:bottom w:val="nil"/>
              <w:right w:val="nil"/>
            </w:tcBorders>
          </w:tcPr>
          <w:p w14:paraId="474B75C5"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0.98</w:t>
            </w:r>
          </w:p>
        </w:tc>
        <w:tc>
          <w:tcPr>
            <w:tcW w:w="992" w:type="dxa"/>
            <w:tcBorders>
              <w:top w:val="nil"/>
              <w:left w:val="nil"/>
              <w:bottom w:val="nil"/>
              <w:right w:val="nil"/>
            </w:tcBorders>
          </w:tcPr>
          <w:p w14:paraId="34F1DE15"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-14.9</w:t>
            </w:r>
          </w:p>
        </w:tc>
      </w:tr>
      <w:tr w:rsidR="00BE348E" w:rsidRPr="002F3B34" w14:paraId="6853C496" w14:textId="77777777" w:rsidTr="00A84EB0">
        <w:tc>
          <w:tcPr>
            <w:tcW w:w="2660" w:type="dxa"/>
            <w:vMerge/>
            <w:tcBorders>
              <w:left w:val="nil"/>
              <w:bottom w:val="nil"/>
              <w:right w:val="nil"/>
            </w:tcBorders>
          </w:tcPr>
          <w:p w14:paraId="157BB3EC"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45B22758"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5E9C472A"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2C62FB30"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1007" w:type="dxa"/>
            <w:tcBorders>
              <w:top w:val="nil"/>
              <w:left w:val="nil"/>
              <w:bottom w:val="nil"/>
              <w:right w:val="nil"/>
            </w:tcBorders>
          </w:tcPr>
          <w:p w14:paraId="6C4B2D9C"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78" w:type="dxa"/>
            <w:tcBorders>
              <w:top w:val="nil"/>
              <w:left w:val="nil"/>
              <w:bottom w:val="nil"/>
              <w:right w:val="nil"/>
            </w:tcBorders>
          </w:tcPr>
          <w:p w14:paraId="1B21BD53"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(13.6)</w:t>
            </w:r>
          </w:p>
        </w:tc>
        <w:tc>
          <w:tcPr>
            <w:tcW w:w="992" w:type="dxa"/>
            <w:tcBorders>
              <w:top w:val="nil"/>
              <w:left w:val="nil"/>
              <w:bottom w:val="nil"/>
              <w:right w:val="nil"/>
            </w:tcBorders>
          </w:tcPr>
          <w:p w14:paraId="7868D22B"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(24.1)</w:t>
            </w:r>
          </w:p>
        </w:tc>
      </w:tr>
      <w:tr w:rsidR="00BE348E" w:rsidRPr="002F3B34" w14:paraId="446318B0" w14:textId="77777777" w:rsidTr="00A84EB0">
        <w:tc>
          <w:tcPr>
            <w:tcW w:w="2660" w:type="dxa"/>
            <w:tcBorders>
              <w:top w:val="nil"/>
              <w:left w:val="nil"/>
              <w:bottom w:val="nil"/>
              <w:right w:val="nil"/>
            </w:tcBorders>
          </w:tcPr>
          <w:p w14:paraId="70A9B031"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38D931C0"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7F566697"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30AAB8E0"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007" w:type="dxa"/>
            <w:tcBorders>
              <w:top w:val="nil"/>
              <w:left w:val="nil"/>
              <w:bottom w:val="nil"/>
              <w:right w:val="nil"/>
            </w:tcBorders>
          </w:tcPr>
          <w:p w14:paraId="20833355"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78" w:type="dxa"/>
            <w:tcBorders>
              <w:top w:val="nil"/>
              <w:left w:val="nil"/>
              <w:bottom w:val="nil"/>
              <w:right w:val="nil"/>
            </w:tcBorders>
          </w:tcPr>
          <w:p w14:paraId="64550211"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2C3D3D3D"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r>
      <w:tr w:rsidR="00BE348E" w:rsidRPr="002F3B34" w14:paraId="7B0497C7" w14:textId="77777777" w:rsidTr="00A84EB0">
        <w:tc>
          <w:tcPr>
            <w:tcW w:w="2660" w:type="dxa"/>
            <w:tcBorders>
              <w:top w:val="nil"/>
              <w:left w:val="nil"/>
              <w:bottom w:val="nil"/>
              <w:right w:val="nil"/>
            </w:tcBorders>
          </w:tcPr>
          <w:p w14:paraId="28B6F560" w14:textId="77777777" w:rsidR="00BE348E" w:rsidRPr="002F3B34" w:rsidRDefault="00633895" w:rsidP="007B30FB">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Left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1134" w:type="dxa"/>
            <w:tcBorders>
              <w:top w:val="nil"/>
              <w:left w:val="nil"/>
              <w:bottom w:val="nil"/>
              <w:right w:val="nil"/>
            </w:tcBorders>
          </w:tcPr>
          <w:p w14:paraId="0DF02AC3"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51A527DF"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47F77638"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1007" w:type="dxa"/>
            <w:tcBorders>
              <w:top w:val="nil"/>
              <w:left w:val="nil"/>
              <w:bottom w:val="nil"/>
              <w:right w:val="nil"/>
            </w:tcBorders>
          </w:tcPr>
          <w:p w14:paraId="7B7F24DF"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78" w:type="dxa"/>
            <w:tcBorders>
              <w:top w:val="nil"/>
              <w:left w:val="nil"/>
              <w:bottom w:val="nil"/>
              <w:right w:val="nil"/>
            </w:tcBorders>
          </w:tcPr>
          <w:p w14:paraId="57B679BE"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0E695C3F"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-23.1</w:t>
            </w:r>
          </w:p>
        </w:tc>
      </w:tr>
      <w:tr w:rsidR="00BE348E" w:rsidRPr="002F3B34" w14:paraId="52620F88" w14:textId="77777777" w:rsidTr="00A84EB0">
        <w:tc>
          <w:tcPr>
            <w:tcW w:w="2660" w:type="dxa"/>
            <w:tcBorders>
              <w:top w:val="nil"/>
              <w:left w:val="nil"/>
              <w:bottom w:val="nil"/>
              <w:right w:val="nil"/>
            </w:tcBorders>
          </w:tcPr>
          <w:p w14:paraId="7A3FA4A7"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769C8224"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6D39996F"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55C028FD"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1007" w:type="dxa"/>
            <w:tcBorders>
              <w:top w:val="nil"/>
              <w:left w:val="nil"/>
              <w:bottom w:val="nil"/>
              <w:right w:val="nil"/>
            </w:tcBorders>
          </w:tcPr>
          <w:p w14:paraId="47F160E1"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78" w:type="dxa"/>
            <w:tcBorders>
              <w:top w:val="nil"/>
              <w:left w:val="nil"/>
              <w:bottom w:val="nil"/>
              <w:right w:val="nil"/>
            </w:tcBorders>
          </w:tcPr>
          <w:p w14:paraId="121E71F4"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35066BCB"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(12.0)</w:t>
            </w:r>
          </w:p>
        </w:tc>
      </w:tr>
      <w:tr w:rsidR="00BE348E" w:rsidRPr="002F3B34" w14:paraId="30D01992" w14:textId="77777777" w:rsidTr="00A84EB0">
        <w:tc>
          <w:tcPr>
            <w:tcW w:w="2660" w:type="dxa"/>
            <w:tcBorders>
              <w:top w:val="nil"/>
              <w:left w:val="nil"/>
              <w:bottom w:val="nil"/>
              <w:right w:val="nil"/>
            </w:tcBorders>
          </w:tcPr>
          <w:p w14:paraId="16FAA482"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2885C95F"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2F8B198E"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0660207A"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007" w:type="dxa"/>
            <w:tcBorders>
              <w:top w:val="nil"/>
              <w:left w:val="nil"/>
              <w:bottom w:val="nil"/>
              <w:right w:val="nil"/>
            </w:tcBorders>
          </w:tcPr>
          <w:p w14:paraId="30CA8B2A"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78" w:type="dxa"/>
            <w:tcBorders>
              <w:top w:val="nil"/>
              <w:left w:val="nil"/>
              <w:bottom w:val="nil"/>
              <w:right w:val="nil"/>
            </w:tcBorders>
          </w:tcPr>
          <w:p w14:paraId="65498F7D"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nil"/>
              <w:right w:val="nil"/>
            </w:tcBorders>
          </w:tcPr>
          <w:p w14:paraId="5212A851"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r>
      <w:tr w:rsidR="00BE348E" w:rsidRPr="002F3B34" w14:paraId="004AB768" w14:textId="77777777" w:rsidTr="00A84EB0">
        <w:tc>
          <w:tcPr>
            <w:tcW w:w="2660" w:type="dxa"/>
            <w:tcBorders>
              <w:top w:val="nil"/>
              <w:left w:val="nil"/>
              <w:bottom w:val="nil"/>
              <w:right w:val="nil"/>
            </w:tcBorders>
          </w:tcPr>
          <w:p w14:paraId="3A71D054" w14:textId="77777777" w:rsidR="00BE348E" w:rsidRPr="002F3B34" w:rsidRDefault="00633895" w:rsidP="007B30FB">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Right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1134" w:type="dxa"/>
            <w:tcBorders>
              <w:top w:val="nil"/>
              <w:left w:val="nil"/>
              <w:bottom w:val="nil"/>
              <w:right w:val="nil"/>
            </w:tcBorders>
          </w:tcPr>
          <w:p w14:paraId="3B51FBA3"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532F5CE1"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5B0AF436"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1007" w:type="dxa"/>
            <w:tcBorders>
              <w:top w:val="nil"/>
              <w:left w:val="nil"/>
              <w:bottom w:val="nil"/>
              <w:right w:val="nil"/>
            </w:tcBorders>
          </w:tcPr>
          <w:p w14:paraId="4E47989A"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78" w:type="dxa"/>
            <w:tcBorders>
              <w:top w:val="nil"/>
              <w:left w:val="nil"/>
              <w:bottom w:val="nil"/>
              <w:right w:val="nil"/>
            </w:tcBorders>
          </w:tcPr>
          <w:p w14:paraId="2BB635BF"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0838A626"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-23.5</w:t>
            </w:r>
          </w:p>
        </w:tc>
      </w:tr>
      <w:tr w:rsidR="00BE348E" w:rsidRPr="002F3B34" w14:paraId="38F9D1A0" w14:textId="77777777" w:rsidTr="00A84EB0">
        <w:tc>
          <w:tcPr>
            <w:tcW w:w="2660" w:type="dxa"/>
            <w:tcBorders>
              <w:top w:val="nil"/>
              <w:left w:val="nil"/>
              <w:bottom w:val="nil"/>
              <w:right w:val="nil"/>
            </w:tcBorders>
          </w:tcPr>
          <w:p w14:paraId="4D6ABBB7"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nil"/>
              <w:right w:val="nil"/>
            </w:tcBorders>
          </w:tcPr>
          <w:p w14:paraId="12B03865"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0D70458C"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2728D0F2"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1007" w:type="dxa"/>
            <w:tcBorders>
              <w:top w:val="nil"/>
              <w:left w:val="nil"/>
              <w:bottom w:val="nil"/>
              <w:right w:val="nil"/>
            </w:tcBorders>
          </w:tcPr>
          <w:p w14:paraId="63E49985"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78" w:type="dxa"/>
            <w:tcBorders>
              <w:top w:val="nil"/>
              <w:left w:val="nil"/>
              <w:bottom w:val="nil"/>
              <w:right w:val="nil"/>
            </w:tcBorders>
          </w:tcPr>
          <w:p w14:paraId="53E279B4"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p>
        </w:tc>
        <w:tc>
          <w:tcPr>
            <w:tcW w:w="992" w:type="dxa"/>
            <w:tcBorders>
              <w:top w:val="nil"/>
              <w:left w:val="nil"/>
              <w:bottom w:val="nil"/>
              <w:right w:val="nil"/>
            </w:tcBorders>
          </w:tcPr>
          <w:p w14:paraId="3263C7EE"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(13.6)</w:t>
            </w:r>
          </w:p>
        </w:tc>
      </w:tr>
      <w:tr w:rsidR="00BE348E" w:rsidRPr="002F3B34" w14:paraId="68AC8FFC" w14:textId="77777777" w:rsidTr="00A84EB0">
        <w:tc>
          <w:tcPr>
            <w:tcW w:w="2660" w:type="dxa"/>
            <w:tcBorders>
              <w:top w:val="nil"/>
              <w:left w:val="nil"/>
              <w:bottom w:val="single" w:sz="4" w:space="0" w:color="auto"/>
              <w:right w:val="nil"/>
            </w:tcBorders>
          </w:tcPr>
          <w:p w14:paraId="62EBAAA2"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134" w:type="dxa"/>
            <w:tcBorders>
              <w:top w:val="nil"/>
              <w:left w:val="nil"/>
              <w:bottom w:val="single" w:sz="4" w:space="0" w:color="auto"/>
              <w:right w:val="nil"/>
            </w:tcBorders>
          </w:tcPr>
          <w:p w14:paraId="05FDFBF2"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single" w:sz="4" w:space="0" w:color="auto"/>
              <w:right w:val="nil"/>
            </w:tcBorders>
          </w:tcPr>
          <w:p w14:paraId="7BB72663"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single" w:sz="4" w:space="0" w:color="auto"/>
              <w:right w:val="nil"/>
            </w:tcBorders>
          </w:tcPr>
          <w:p w14:paraId="3C489C00"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1007" w:type="dxa"/>
            <w:tcBorders>
              <w:top w:val="nil"/>
              <w:left w:val="nil"/>
              <w:bottom w:val="single" w:sz="4" w:space="0" w:color="auto"/>
              <w:right w:val="nil"/>
            </w:tcBorders>
          </w:tcPr>
          <w:p w14:paraId="4895858A"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78" w:type="dxa"/>
            <w:tcBorders>
              <w:top w:val="nil"/>
              <w:left w:val="nil"/>
              <w:bottom w:val="single" w:sz="4" w:space="0" w:color="auto"/>
              <w:right w:val="nil"/>
            </w:tcBorders>
          </w:tcPr>
          <w:p w14:paraId="2B30DB4C"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c>
          <w:tcPr>
            <w:tcW w:w="992" w:type="dxa"/>
            <w:tcBorders>
              <w:top w:val="nil"/>
              <w:left w:val="nil"/>
              <w:bottom w:val="single" w:sz="4" w:space="0" w:color="auto"/>
              <w:right w:val="nil"/>
            </w:tcBorders>
          </w:tcPr>
          <w:p w14:paraId="0C59B620" w14:textId="77777777" w:rsidR="00BE348E" w:rsidRPr="002F3B34" w:rsidRDefault="00BE348E" w:rsidP="007B30FB">
            <w:pPr>
              <w:widowControl w:val="0"/>
              <w:autoSpaceDE w:val="0"/>
              <w:autoSpaceDN w:val="0"/>
              <w:adjustRightInd w:val="0"/>
              <w:rPr>
                <w:rFonts w:ascii="Times New Roman" w:hAnsi="Times New Roman" w:cs="Times New Roman"/>
                <w:szCs w:val="24"/>
              </w:rPr>
            </w:pPr>
          </w:p>
        </w:tc>
      </w:tr>
      <w:tr w:rsidR="00BE348E" w:rsidRPr="002F3B34" w14:paraId="03B62AE7" w14:textId="77777777" w:rsidTr="00A84EB0">
        <w:tc>
          <w:tcPr>
            <w:tcW w:w="2660" w:type="dxa"/>
            <w:tcBorders>
              <w:top w:val="single" w:sz="4" w:space="0" w:color="auto"/>
              <w:left w:val="nil"/>
              <w:right w:val="nil"/>
            </w:tcBorders>
          </w:tcPr>
          <w:p w14:paraId="3F1CB6C0" w14:textId="77777777" w:rsidR="00BE348E" w:rsidRPr="002F3B34" w:rsidRDefault="00BE348E" w:rsidP="007B30FB">
            <w:pPr>
              <w:widowControl w:val="0"/>
              <w:autoSpaceDE w:val="0"/>
              <w:autoSpaceDN w:val="0"/>
              <w:adjustRightInd w:val="0"/>
              <w:rPr>
                <w:rFonts w:ascii="Times New Roman" w:hAnsi="Times New Roman" w:cs="Times New Roman"/>
                <w:iCs/>
                <w:szCs w:val="24"/>
              </w:rPr>
            </w:pPr>
            <w:r w:rsidRPr="002F3B34">
              <w:rPr>
                <w:rFonts w:ascii="Times New Roman" w:hAnsi="Times New Roman" w:cs="Times New Roman"/>
                <w:iCs/>
                <w:szCs w:val="24"/>
              </w:rPr>
              <w:t>Countries</w:t>
            </w:r>
          </w:p>
        </w:tc>
        <w:tc>
          <w:tcPr>
            <w:tcW w:w="1134" w:type="dxa"/>
            <w:tcBorders>
              <w:top w:val="single" w:sz="4" w:space="0" w:color="auto"/>
              <w:left w:val="nil"/>
              <w:right w:val="nil"/>
            </w:tcBorders>
          </w:tcPr>
          <w:p w14:paraId="4B9BB56C"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992" w:type="dxa"/>
            <w:tcBorders>
              <w:top w:val="single" w:sz="4" w:space="0" w:color="auto"/>
              <w:left w:val="nil"/>
              <w:right w:val="nil"/>
            </w:tcBorders>
          </w:tcPr>
          <w:p w14:paraId="2F8BC9A0"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992" w:type="dxa"/>
            <w:tcBorders>
              <w:top w:val="single" w:sz="4" w:space="0" w:color="auto"/>
              <w:left w:val="nil"/>
              <w:right w:val="nil"/>
            </w:tcBorders>
          </w:tcPr>
          <w:p w14:paraId="20C2CD5A"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1007" w:type="dxa"/>
            <w:tcBorders>
              <w:top w:val="single" w:sz="4" w:space="0" w:color="auto"/>
              <w:left w:val="nil"/>
              <w:right w:val="nil"/>
            </w:tcBorders>
          </w:tcPr>
          <w:p w14:paraId="6C4CC172"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978" w:type="dxa"/>
            <w:tcBorders>
              <w:top w:val="single" w:sz="4" w:space="0" w:color="auto"/>
              <w:left w:val="nil"/>
              <w:right w:val="nil"/>
            </w:tcBorders>
          </w:tcPr>
          <w:p w14:paraId="57A624C1"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992" w:type="dxa"/>
            <w:tcBorders>
              <w:top w:val="single" w:sz="4" w:space="0" w:color="auto"/>
              <w:left w:val="nil"/>
              <w:right w:val="nil"/>
            </w:tcBorders>
          </w:tcPr>
          <w:p w14:paraId="1BDCE126"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r>
      <w:tr w:rsidR="00BE348E" w:rsidRPr="002F3B34" w14:paraId="05464E89" w14:textId="77777777" w:rsidTr="00A84EB0">
        <w:tc>
          <w:tcPr>
            <w:tcW w:w="2660" w:type="dxa"/>
            <w:tcBorders>
              <w:left w:val="nil"/>
              <w:bottom w:val="single" w:sz="4" w:space="0" w:color="auto"/>
              <w:right w:val="nil"/>
            </w:tcBorders>
          </w:tcPr>
          <w:p w14:paraId="7E9886F4" w14:textId="77777777" w:rsidR="00BE348E" w:rsidRPr="002F3B34" w:rsidRDefault="00BE348E" w:rsidP="007B30FB">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iCs/>
                <w:szCs w:val="24"/>
              </w:rPr>
              <w:t>Country-years</w:t>
            </w:r>
          </w:p>
        </w:tc>
        <w:tc>
          <w:tcPr>
            <w:tcW w:w="1134" w:type="dxa"/>
            <w:tcBorders>
              <w:left w:val="nil"/>
              <w:bottom w:val="single" w:sz="4" w:space="0" w:color="auto"/>
              <w:right w:val="nil"/>
            </w:tcBorders>
          </w:tcPr>
          <w:p w14:paraId="3C7E30D5"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431</w:t>
            </w:r>
          </w:p>
        </w:tc>
        <w:tc>
          <w:tcPr>
            <w:tcW w:w="992" w:type="dxa"/>
            <w:tcBorders>
              <w:left w:val="nil"/>
              <w:bottom w:val="single" w:sz="4" w:space="0" w:color="auto"/>
              <w:right w:val="nil"/>
            </w:tcBorders>
          </w:tcPr>
          <w:p w14:paraId="50242E53"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416</w:t>
            </w:r>
          </w:p>
        </w:tc>
        <w:tc>
          <w:tcPr>
            <w:tcW w:w="992" w:type="dxa"/>
            <w:tcBorders>
              <w:left w:val="nil"/>
              <w:bottom w:val="single" w:sz="4" w:space="0" w:color="auto"/>
              <w:right w:val="nil"/>
            </w:tcBorders>
          </w:tcPr>
          <w:p w14:paraId="171202EB"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391</w:t>
            </w:r>
          </w:p>
        </w:tc>
        <w:tc>
          <w:tcPr>
            <w:tcW w:w="1007" w:type="dxa"/>
            <w:tcBorders>
              <w:left w:val="nil"/>
              <w:bottom w:val="single" w:sz="4" w:space="0" w:color="auto"/>
              <w:right w:val="nil"/>
            </w:tcBorders>
          </w:tcPr>
          <w:p w14:paraId="29069FE7" w14:textId="77777777" w:rsidR="00BE348E" w:rsidRPr="002F3B34" w:rsidRDefault="00BE348E"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391</w:t>
            </w:r>
          </w:p>
        </w:tc>
        <w:tc>
          <w:tcPr>
            <w:tcW w:w="978" w:type="dxa"/>
            <w:tcBorders>
              <w:left w:val="nil"/>
              <w:bottom w:val="single" w:sz="4" w:space="0" w:color="auto"/>
              <w:right w:val="nil"/>
            </w:tcBorders>
          </w:tcPr>
          <w:p w14:paraId="7E313309"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391</w:t>
            </w:r>
          </w:p>
        </w:tc>
        <w:tc>
          <w:tcPr>
            <w:tcW w:w="992" w:type="dxa"/>
            <w:tcBorders>
              <w:left w:val="nil"/>
              <w:bottom w:val="single" w:sz="4" w:space="0" w:color="auto"/>
              <w:right w:val="nil"/>
            </w:tcBorders>
          </w:tcPr>
          <w:p w14:paraId="407FE378" w14:textId="77777777" w:rsidR="00BE348E" w:rsidRPr="002F3B34" w:rsidRDefault="005B555D" w:rsidP="007B30FB">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339</w:t>
            </w:r>
          </w:p>
        </w:tc>
      </w:tr>
    </w:tbl>
    <w:p w14:paraId="753F8C5F" w14:textId="77777777" w:rsidR="00BE348E" w:rsidRPr="00D00AB1" w:rsidRDefault="00BE348E" w:rsidP="00A84EB0">
      <w:pPr>
        <w:widowControl w:val="0"/>
        <w:autoSpaceDE w:val="0"/>
        <w:autoSpaceDN w:val="0"/>
        <w:adjustRightInd w:val="0"/>
        <w:rPr>
          <w:rFonts w:ascii="Times New Roman" w:hAnsi="Times New Roman" w:cs="Times New Roman"/>
          <w:sz w:val="20"/>
          <w:szCs w:val="20"/>
        </w:rPr>
      </w:pPr>
      <w:r w:rsidRPr="00A84EB0">
        <w:rPr>
          <w:rFonts w:ascii="Times New Roman" w:hAnsi="Times New Roman" w:cs="Times New Roman"/>
          <w:i/>
          <w:sz w:val="20"/>
          <w:szCs w:val="20"/>
        </w:rPr>
        <w:t>Notes:</w:t>
      </w:r>
      <w:r w:rsidR="00D00AB1" w:rsidRPr="00A84EB0">
        <w:rPr>
          <w:rFonts w:ascii="Times New Roman" w:hAnsi="Times New Roman" w:cs="Times New Roman"/>
          <w:i/>
          <w:sz w:val="20"/>
          <w:szCs w:val="20"/>
        </w:rPr>
        <w:t xml:space="preserve"> </w:t>
      </w:r>
      <w:r w:rsidRPr="00D00AB1">
        <w:rPr>
          <w:rFonts w:ascii="Times New Roman" w:hAnsi="Times New Roman" w:cs="Times New Roman"/>
          <w:sz w:val="20"/>
          <w:szCs w:val="20"/>
        </w:rPr>
        <w:t>Source: EuroStat 2013 edition, IMF MONA 2013 edition, World Bank Political Institutions Database 2013 edition.</w:t>
      </w:r>
    </w:p>
    <w:p w14:paraId="21F917F8" w14:textId="77777777" w:rsidR="00BE348E" w:rsidRPr="002F3B34" w:rsidRDefault="00BE348E" w:rsidP="00BE348E">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 xml:space="preserve">Standard errors in parentheses, adjusted for repeated observations: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0.05,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0.01 </w:t>
      </w:r>
    </w:p>
    <w:p w14:paraId="6C193785" w14:textId="77777777" w:rsidR="006D3D69" w:rsidRPr="006D3D69" w:rsidRDefault="006D3D69" w:rsidP="006D3D69">
      <w:pPr>
        <w:widowControl w:val="0"/>
        <w:autoSpaceDE w:val="0"/>
        <w:autoSpaceDN w:val="0"/>
        <w:adjustRightInd w:val="0"/>
        <w:rPr>
          <w:rFonts w:ascii="Times New Roman" w:hAnsi="Times New Roman" w:cs="Times New Roman"/>
          <w:bCs/>
          <w:sz w:val="20"/>
          <w:szCs w:val="20"/>
        </w:rPr>
      </w:pPr>
      <w:r w:rsidRPr="006D3D69">
        <w:rPr>
          <w:rFonts w:ascii="Times New Roman" w:hAnsi="Times New Roman" w:cs="Times New Roman"/>
          <w:bCs/>
          <w:sz w:val="20"/>
          <w:szCs w:val="20"/>
          <w:vertAlign w:val="superscript"/>
        </w:rPr>
        <w:t xml:space="preserve">† </w:t>
      </w:r>
      <w:r w:rsidRPr="006D3D69">
        <w:rPr>
          <w:rFonts w:ascii="Times New Roman" w:hAnsi="Times New Roman" w:cs="Times New Roman"/>
          <w:bCs/>
          <w:sz w:val="20"/>
          <w:szCs w:val="20"/>
        </w:rPr>
        <w:t>- units in real per capita, in constant purchasing-power-parity USD</w:t>
      </w:r>
    </w:p>
    <w:p w14:paraId="1E73CC86" w14:textId="77777777" w:rsidR="00BE348E" w:rsidRPr="002F3B34" w:rsidRDefault="00A009B8" w:rsidP="00BE348E">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 xml:space="preserve">˚ Baseline category is Centre. </w:t>
      </w:r>
      <w:r w:rsidR="00C10BE4" w:rsidRPr="00C10BE4">
        <w:rPr>
          <w:rFonts w:ascii="Times New Roman" w:hAnsi="Times New Roman" w:cs="Times New Roman"/>
          <w:sz w:val="20"/>
          <w:szCs w:val="20"/>
        </w:rPr>
        <w:t xml:space="preserve">Taken from the World Bank Political Institutions database, </w:t>
      </w:r>
      <w:r w:rsidRPr="002F3B34">
        <w:rPr>
          <w:rFonts w:ascii="Times New Roman" w:hAnsi="Times New Roman" w:cs="Times New Roman"/>
          <w:sz w:val="20"/>
          <w:szCs w:val="20"/>
        </w:rPr>
        <w:t xml:space="preserve">Left </w:t>
      </w:r>
      <w:r w:rsidR="00C10BE4" w:rsidRPr="00C10BE4">
        <w:rPr>
          <w:rFonts w:ascii="Times New Roman" w:hAnsi="Times New Roman" w:cs="Times New Roman"/>
          <w:sz w:val="20"/>
          <w:szCs w:val="20"/>
        </w:rPr>
        <w:t xml:space="preserve">governing party </w:t>
      </w:r>
      <w:r w:rsidRPr="002F3B34">
        <w:rPr>
          <w:rFonts w:ascii="Times New Roman" w:hAnsi="Times New Roman" w:cs="Times New Roman"/>
          <w:sz w:val="20"/>
          <w:szCs w:val="20"/>
        </w:rPr>
        <w:t>and Right</w:t>
      </w:r>
      <w:r w:rsidR="00C10BE4" w:rsidRPr="00C10BE4">
        <w:rPr>
          <w:rFonts w:ascii="Times New Roman" w:hAnsi="Times New Roman" w:cs="Times New Roman"/>
          <w:sz w:val="20"/>
          <w:szCs w:val="20"/>
        </w:rPr>
        <w:t xml:space="preserve"> governing party</w:t>
      </w:r>
      <w:r w:rsidRPr="002F3B34">
        <w:rPr>
          <w:rFonts w:ascii="Times New Roman" w:hAnsi="Times New Roman" w:cs="Times New Roman"/>
          <w:sz w:val="20"/>
          <w:szCs w:val="20"/>
        </w:rPr>
        <w:t xml:space="preserve"> are measures of the economic ideology of the governing party (or the party whose leader is head of a coalition) derived from party manifestos.</w:t>
      </w:r>
    </w:p>
    <w:p w14:paraId="5B79F709" w14:textId="77777777" w:rsidR="00BE348E" w:rsidRPr="002F3B34" w:rsidRDefault="00A009B8" w:rsidP="00A84EB0">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IMF bailouts include Stand-by Arrangements, usually short-term lending</w:t>
      </w:r>
      <w:r w:rsidR="006D3D69" w:rsidRPr="006D3D69">
        <w:rPr>
          <w:rFonts w:ascii="Times New Roman" w:hAnsi="Times New Roman" w:cs="Times New Roman"/>
          <w:sz w:val="20"/>
          <w:szCs w:val="20"/>
        </w:rPr>
        <w:t xml:space="preserve"> to states to cover the effect of unanticipated shocks</w:t>
      </w:r>
      <w:r w:rsidRPr="002F3B34">
        <w:rPr>
          <w:rFonts w:ascii="Times New Roman" w:hAnsi="Times New Roman" w:cs="Times New Roman"/>
          <w:sz w:val="20"/>
          <w:szCs w:val="20"/>
        </w:rPr>
        <w:t xml:space="preserve">, and Extended Fund Facilities, which are usually medium- or long-term lending programmes aimed at overcoming </w:t>
      </w:r>
      <w:r w:rsidR="006D3D69" w:rsidRPr="006D3D69">
        <w:rPr>
          <w:rFonts w:ascii="Times New Roman" w:hAnsi="Times New Roman" w:cs="Times New Roman"/>
          <w:sz w:val="20"/>
          <w:szCs w:val="20"/>
        </w:rPr>
        <w:t xml:space="preserve">weaknesses in the national economy which may have precipitated or exacerbated the shock. </w:t>
      </w:r>
      <w:r w:rsidRPr="002F3B34">
        <w:rPr>
          <w:rFonts w:ascii="Times New Roman" w:hAnsi="Times New Roman" w:cs="Times New Roman"/>
          <w:sz w:val="20"/>
          <w:szCs w:val="20"/>
        </w:rPr>
        <w:t xml:space="preserve">  </w:t>
      </w:r>
    </w:p>
    <w:p w14:paraId="7107039C" w14:textId="77777777" w:rsidR="00BE348E" w:rsidRPr="002F3B34" w:rsidRDefault="00A009B8" w:rsidP="00BE348E">
      <w:pPr>
        <w:outlineLvl w:val="0"/>
        <w:rPr>
          <w:rFonts w:ascii="Times New Roman" w:hAnsi="Times New Roman" w:cs="Times New Roman"/>
          <w:sz w:val="20"/>
          <w:szCs w:val="20"/>
        </w:rPr>
      </w:pPr>
      <w:r w:rsidRPr="002F3B34">
        <w:rPr>
          <w:rFonts w:ascii="Times New Roman" w:hAnsi="Times New Roman" w:cs="Times New Roman"/>
          <w:sz w:val="20"/>
          <w:szCs w:val="20"/>
        </w:rPr>
        <w:t>All models control for country-specific fixed effects.</w:t>
      </w:r>
    </w:p>
    <w:p w14:paraId="352274BA" w14:textId="77777777" w:rsidR="00BE348E" w:rsidRPr="002F3B34" w:rsidRDefault="00A009B8" w:rsidP="00BE348E">
      <w:pPr>
        <w:rPr>
          <w:rFonts w:ascii="Times New Roman" w:hAnsi="Times New Roman" w:cs="Times New Roman"/>
          <w:sz w:val="20"/>
          <w:szCs w:val="20"/>
        </w:rPr>
      </w:pPr>
      <w:r w:rsidRPr="002F3B34">
        <w:rPr>
          <w:rFonts w:ascii="Times New Roman" w:hAnsi="Times New Roman" w:cs="Times New Roman"/>
          <w:sz w:val="20"/>
          <w:szCs w:val="20"/>
        </w:rPr>
        <w:br w:type="page"/>
      </w:r>
    </w:p>
    <w:p w14:paraId="05E4E38F" w14:textId="77777777" w:rsidR="00BE348E" w:rsidRPr="002F3B34" w:rsidRDefault="005B555D" w:rsidP="00BE348E">
      <w:pPr>
        <w:rPr>
          <w:rFonts w:ascii="Times New Roman" w:hAnsi="Times New Roman" w:cs="Times New Roman"/>
          <w:szCs w:val="24"/>
        </w:rPr>
      </w:pPr>
      <w:r w:rsidRPr="002F3B34">
        <w:rPr>
          <w:rFonts w:ascii="Times New Roman" w:hAnsi="Times New Roman" w:cs="Times New Roman"/>
          <w:szCs w:val="24"/>
        </w:rPr>
        <w:t xml:space="preserve">Web Appendix </w:t>
      </w:r>
      <w:r w:rsidR="007D1F11" w:rsidRPr="00A04F75">
        <w:rPr>
          <w:rFonts w:ascii="Times New Roman" w:hAnsi="Times New Roman" w:cs="Times New Roman"/>
          <w:szCs w:val="24"/>
        </w:rPr>
        <w:t>5</w:t>
      </w:r>
      <w:r w:rsidRPr="002F3B34">
        <w:rPr>
          <w:rFonts w:ascii="Times New Roman" w:hAnsi="Times New Roman" w:cs="Times New Roman"/>
          <w:szCs w:val="24"/>
        </w:rPr>
        <w:t>: Coefficients of a Hausman test comparing the fixed- and random-effects models among 27 EU countries, 1995-2011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134"/>
        <w:gridCol w:w="1134"/>
        <w:gridCol w:w="1312"/>
        <w:gridCol w:w="876"/>
      </w:tblGrid>
      <w:tr w:rsidR="00BE348E" w:rsidRPr="002F3B34" w14:paraId="3BFB3948" w14:textId="77777777" w:rsidTr="00A84EB0">
        <w:tc>
          <w:tcPr>
            <w:tcW w:w="4786" w:type="dxa"/>
            <w:tcBorders>
              <w:bottom w:val="single" w:sz="4" w:space="0" w:color="auto"/>
            </w:tcBorders>
          </w:tcPr>
          <w:p w14:paraId="38FA8C36" w14:textId="77777777" w:rsidR="00BE348E" w:rsidRPr="002F3B34" w:rsidRDefault="00BE348E" w:rsidP="007B30FB">
            <w:pPr>
              <w:rPr>
                <w:rFonts w:ascii="Times New Roman" w:hAnsi="Times New Roman" w:cs="Times New Roman"/>
                <w:szCs w:val="24"/>
              </w:rPr>
            </w:pPr>
          </w:p>
        </w:tc>
        <w:tc>
          <w:tcPr>
            <w:tcW w:w="2268" w:type="dxa"/>
            <w:gridSpan w:val="2"/>
            <w:tcBorders>
              <w:bottom w:val="single" w:sz="4" w:space="0" w:color="auto"/>
            </w:tcBorders>
          </w:tcPr>
          <w:p w14:paraId="7EE1D459" w14:textId="77777777" w:rsidR="00BE348E" w:rsidRPr="002F3B34" w:rsidRDefault="005B555D" w:rsidP="007B30FB">
            <w:pPr>
              <w:jc w:val="center"/>
              <w:rPr>
                <w:rFonts w:ascii="Times New Roman" w:hAnsi="Times New Roman" w:cs="Times New Roman"/>
                <w:szCs w:val="24"/>
              </w:rPr>
            </w:pPr>
            <w:r w:rsidRPr="002F3B34">
              <w:rPr>
                <w:rFonts w:ascii="Times New Roman" w:hAnsi="Times New Roman" w:cs="Times New Roman"/>
                <w:szCs w:val="24"/>
              </w:rPr>
              <w:t>Coefficients</w:t>
            </w:r>
          </w:p>
        </w:tc>
        <w:tc>
          <w:tcPr>
            <w:tcW w:w="1312" w:type="dxa"/>
            <w:tcBorders>
              <w:bottom w:val="single" w:sz="4" w:space="0" w:color="auto"/>
            </w:tcBorders>
          </w:tcPr>
          <w:p w14:paraId="389C4747" w14:textId="77777777" w:rsidR="00BE348E" w:rsidRPr="002F3B34" w:rsidRDefault="00BE348E" w:rsidP="007B30FB">
            <w:pPr>
              <w:rPr>
                <w:rFonts w:ascii="Times New Roman" w:hAnsi="Times New Roman" w:cs="Times New Roman"/>
                <w:szCs w:val="24"/>
              </w:rPr>
            </w:pPr>
          </w:p>
        </w:tc>
        <w:tc>
          <w:tcPr>
            <w:tcW w:w="876" w:type="dxa"/>
            <w:tcBorders>
              <w:bottom w:val="single" w:sz="4" w:space="0" w:color="auto"/>
            </w:tcBorders>
          </w:tcPr>
          <w:p w14:paraId="5E674CD4" w14:textId="77777777" w:rsidR="00BE348E" w:rsidRPr="002F3B34" w:rsidRDefault="00BE348E" w:rsidP="007B30FB">
            <w:pPr>
              <w:rPr>
                <w:rFonts w:ascii="Times New Roman" w:hAnsi="Times New Roman" w:cs="Times New Roman"/>
                <w:szCs w:val="24"/>
              </w:rPr>
            </w:pPr>
          </w:p>
        </w:tc>
      </w:tr>
      <w:tr w:rsidR="00BE348E" w:rsidRPr="002F3B34" w14:paraId="24EF46DC" w14:textId="77777777" w:rsidTr="00A84EB0">
        <w:tc>
          <w:tcPr>
            <w:tcW w:w="4786" w:type="dxa"/>
            <w:tcBorders>
              <w:top w:val="single" w:sz="4" w:space="0" w:color="auto"/>
              <w:bottom w:val="single" w:sz="4" w:space="0" w:color="auto"/>
            </w:tcBorders>
          </w:tcPr>
          <w:p w14:paraId="2FD157F3" w14:textId="77777777" w:rsidR="00BE348E" w:rsidRPr="002F3B34" w:rsidRDefault="00BE348E" w:rsidP="007B30FB">
            <w:pPr>
              <w:rPr>
                <w:rFonts w:ascii="Times New Roman" w:hAnsi="Times New Roman" w:cs="Times New Roman"/>
                <w:szCs w:val="24"/>
              </w:rPr>
            </w:pPr>
          </w:p>
        </w:tc>
        <w:tc>
          <w:tcPr>
            <w:tcW w:w="1134" w:type="dxa"/>
            <w:tcBorders>
              <w:top w:val="single" w:sz="4" w:space="0" w:color="auto"/>
              <w:bottom w:val="single" w:sz="4" w:space="0" w:color="auto"/>
            </w:tcBorders>
          </w:tcPr>
          <w:p w14:paraId="0D27C21F" w14:textId="77777777" w:rsidR="008357CC" w:rsidRDefault="00BE348E" w:rsidP="007B30FB">
            <w:pPr>
              <w:jc w:val="center"/>
              <w:rPr>
                <w:rFonts w:ascii="Times New Roman" w:hAnsi="Times New Roman" w:cs="Times New Roman"/>
                <w:szCs w:val="24"/>
              </w:rPr>
            </w:pPr>
            <w:r w:rsidRPr="002F3B34">
              <w:rPr>
                <w:rFonts w:ascii="Times New Roman" w:hAnsi="Times New Roman" w:cs="Times New Roman"/>
                <w:szCs w:val="24"/>
              </w:rPr>
              <w:t xml:space="preserve">Fixed </w:t>
            </w:r>
          </w:p>
          <w:p w14:paraId="494EE59F" w14:textId="77777777" w:rsidR="00BE348E" w:rsidRPr="002F3B34" w:rsidRDefault="00BE348E" w:rsidP="007B30FB">
            <w:pPr>
              <w:jc w:val="center"/>
              <w:rPr>
                <w:rFonts w:ascii="Times New Roman" w:hAnsi="Times New Roman" w:cs="Times New Roman"/>
                <w:szCs w:val="24"/>
              </w:rPr>
            </w:pPr>
            <w:r w:rsidRPr="002F3B34">
              <w:rPr>
                <w:rFonts w:ascii="Times New Roman" w:hAnsi="Times New Roman" w:cs="Times New Roman"/>
                <w:szCs w:val="24"/>
              </w:rPr>
              <w:t>(b)</w:t>
            </w:r>
          </w:p>
        </w:tc>
        <w:tc>
          <w:tcPr>
            <w:tcW w:w="1134" w:type="dxa"/>
            <w:tcBorders>
              <w:top w:val="single" w:sz="4" w:space="0" w:color="auto"/>
              <w:bottom w:val="single" w:sz="4" w:space="0" w:color="auto"/>
            </w:tcBorders>
          </w:tcPr>
          <w:p w14:paraId="72CBCDBD" w14:textId="77777777" w:rsidR="00BE348E" w:rsidRPr="002F3B34" w:rsidRDefault="00BE348E" w:rsidP="007B30FB">
            <w:pPr>
              <w:jc w:val="center"/>
              <w:rPr>
                <w:rFonts w:ascii="Times New Roman" w:hAnsi="Times New Roman" w:cs="Times New Roman"/>
                <w:szCs w:val="24"/>
              </w:rPr>
            </w:pPr>
            <w:r w:rsidRPr="002F3B34">
              <w:rPr>
                <w:rFonts w:ascii="Times New Roman" w:hAnsi="Times New Roman" w:cs="Times New Roman"/>
                <w:szCs w:val="24"/>
              </w:rPr>
              <w:t>Random (B)</w:t>
            </w:r>
          </w:p>
        </w:tc>
        <w:tc>
          <w:tcPr>
            <w:tcW w:w="1312" w:type="dxa"/>
            <w:tcBorders>
              <w:top w:val="single" w:sz="4" w:space="0" w:color="auto"/>
              <w:bottom w:val="single" w:sz="4" w:space="0" w:color="auto"/>
            </w:tcBorders>
          </w:tcPr>
          <w:p w14:paraId="0FA0C8B8" w14:textId="77777777" w:rsidR="00BE348E" w:rsidRPr="002F3B34" w:rsidRDefault="00BE348E" w:rsidP="007B30FB">
            <w:pPr>
              <w:jc w:val="center"/>
              <w:rPr>
                <w:rFonts w:ascii="Times New Roman" w:hAnsi="Times New Roman" w:cs="Times New Roman"/>
                <w:szCs w:val="24"/>
              </w:rPr>
            </w:pPr>
            <w:r w:rsidRPr="002F3B34">
              <w:rPr>
                <w:rFonts w:ascii="Times New Roman" w:hAnsi="Times New Roman" w:cs="Times New Roman"/>
                <w:szCs w:val="24"/>
              </w:rPr>
              <w:t>Difference (b-B)</w:t>
            </w:r>
          </w:p>
        </w:tc>
        <w:tc>
          <w:tcPr>
            <w:tcW w:w="876" w:type="dxa"/>
            <w:tcBorders>
              <w:top w:val="single" w:sz="4" w:space="0" w:color="auto"/>
              <w:bottom w:val="single" w:sz="4" w:space="0" w:color="auto"/>
            </w:tcBorders>
          </w:tcPr>
          <w:p w14:paraId="2640F477" w14:textId="77777777" w:rsidR="00BE348E" w:rsidRPr="002F3B34" w:rsidRDefault="00BE348E" w:rsidP="007B30FB">
            <w:pPr>
              <w:jc w:val="center"/>
              <w:rPr>
                <w:rFonts w:ascii="Times New Roman" w:hAnsi="Times New Roman" w:cs="Times New Roman"/>
                <w:szCs w:val="24"/>
              </w:rPr>
            </w:pPr>
            <w:r w:rsidRPr="002F3B34">
              <w:rPr>
                <w:rFonts w:ascii="Times New Roman" w:hAnsi="Times New Roman" w:cs="Times New Roman"/>
                <w:szCs w:val="24"/>
              </w:rPr>
              <w:t>S.E</w:t>
            </w:r>
          </w:p>
        </w:tc>
      </w:tr>
      <w:tr w:rsidR="00BE348E" w:rsidRPr="002F3B34" w14:paraId="5CD46BE6" w14:textId="77777777" w:rsidTr="00A84EB0">
        <w:tc>
          <w:tcPr>
            <w:tcW w:w="4786" w:type="dxa"/>
            <w:tcBorders>
              <w:top w:val="single" w:sz="4" w:space="0" w:color="auto"/>
            </w:tcBorders>
          </w:tcPr>
          <w:p w14:paraId="0A7E204B" w14:textId="77777777" w:rsidR="00BE348E" w:rsidRPr="002F3B34" w:rsidRDefault="00BE348E" w:rsidP="007B30FB">
            <w:pPr>
              <w:rPr>
                <w:rFonts w:ascii="Times New Roman" w:hAnsi="Times New Roman" w:cs="Times New Roman"/>
                <w:szCs w:val="24"/>
              </w:rPr>
            </w:pPr>
            <w:r w:rsidRPr="002F3B34">
              <w:rPr>
                <w:rFonts w:ascii="Times New Roman" w:hAnsi="Times New Roman" w:cs="Times New Roman"/>
                <w:szCs w:val="24"/>
              </w:rPr>
              <w:t xml:space="preserve">$10 </w:t>
            </w:r>
            <w:r w:rsidR="00663936" w:rsidRPr="00A04F75">
              <w:rPr>
                <w:rFonts w:ascii="Times New Roman" w:hAnsi="Times New Roman" w:cs="Times New Roman"/>
                <w:szCs w:val="24"/>
              </w:rPr>
              <w:t>increase</w:t>
            </w:r>
            <w:r w:rsidRPr="002F3B34">
              <w:rPr>
                <w:rFonts w:ascii="Times New Roman" w:hAnsi="Times New Roman" w:cs="Times New Roman"/>
                <w:szCs w:val="24"/>
              </w:rPr>
              <w:t xml:space="preserve"> in GDP</w:t>
            </w:r>
            <w:r w:rsidR="006D3D69" w:rsidRPr="006D3D69">
              <w:rPr>
                <w:rFonts w:ascii="Times New Roman" w:hAnsi="Times New Roman" w:cs="Times New Roman"/>
                <w:bCs/>
                <w:szCs w:val="24"/>
                <w:vertAlign w:val="superscript"/>
              </w:rPr>
              <w:t>†</w:t>
            </w:r>
          </w:p>
        </w:tc>
        <w:tc>
          <w:tcPr>
            <w:tcW w:w="1134" w:type="dxa"/>
            <w:tcBorders>
              <w:top w:val="single" w:sz="4" w:space="0" w:color="auto"/>
            </w:tcBorders>
            <w:vAlign w:val="bottom"/>
          </w:tcPr>
          <w:p w14:paraId="23A9A3D5"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0.089</w:t>
            </w:r>
          </w:p>
        </w:tc>
        <w:tc>
          <w:tcPr>
            <w:tcW w:w="1134" w:type="dxa"/>
            <w:tcBorders>
              <w:top w:val="single" w:sz="4" w:space="0" w:color="auto"/>
            </w:tcBorders>
            <w:vAlign w:val="bottom"/>
          </w:tcPr>
          <w:p w14:paraId="3DFED9E7"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0.089</w:t>
            </w:r>
          </w:p>
        </w:tc>
        <w:tc>
          <w:tcPr>
            <w:tcW w:w="1312" w:type="dxa"/>
            <w:tcBorders>
              <w:top w:val="single" w:sz="4" w:space="0" w:color="auto"/>
            </w:tcBorders>
            <w:vAlign w:val="bottom"/>
          </w:tcPr>
          <w:p w14:paraId="74FA3D3E"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-0.00020</w:t>
            </w:r>
          </w:p>
        </w:tc>
        <w:tc>
          <w:tcPr>
            <w:tcW w:w="876" w:type="dxa"/>
            <w:tcBorders>
              <w:top w:val="single" w:sz="4" w:space="0" w:color="auto"/>
            </w:tcBorders>
            <w:vAlign w:val="bottom"/>
          </w:tcPr>
          <w:p w14:paraId="3F0C7AEB" w14:textId="77777777" w:rsidR="00BE348E" w:rsidRPr="002F3B34" w:rsidRDefault="005B555D" w:rsidP="007B30FB">
            <w:pPr>
              <w:pStyle w:val="NoSpacing"/>
              <w:framePr w:wrap="around"/>
              <w:jc w:val="center"/>
              <w:rPr>
                <w:rFonts w:ascii="Times New Roman" w:hAnsi="Times New Roman"/>
                <w:szCs w:val="24"/>
              </w:rPr>
            </w:pPr>
            <w:r w:rsidRPr="002F3B34">
              <w:rPr>
                <w:rFonts w:ascii="Times New Roman" w:hAnsi="Times New Roman"/>
              </w:rPr>
              <w:t>0.0061</w:t>
            </w:r>
          </w:p>
        </w:tc>
      </w:tr>
      <w:tr w:rsidR="00BE348E" w:rsidRPr="002F3B34" w14:paraId="25A1AA96" w14:textId="77777777" w:rsidTr="00A84EB0">
        <w:tc>
          <w:tcPr>
            <w:tcW w:w="4786" w:type="dxa"/>
          </w:tcPr>
          <w:p w14:paraId="5C3C5149" w14:textId="77777777" w:rsidR="00BE348E" w:rsidRPr="002F3B34" w:rsidRDefault="00BE348E" w:rsidP="007B30FB">
            <w:pPr>
              <w:rPr>
                <w:rFonts w:ascii="Times New Roman" w:hAnsi="Times New Roman" w:cs="Times New Roman"/>
                <w:szCs w:val="24"/>
              </w:rPr>
            </w:pPr>
            <w:r w:rsidRPr="002F3B34">
              <w:rPr>
                <w:rFonts w:ascii="Times New Roman" w:hAnsi="Times New Roman" w:cs="Times New Roman"/>
                <w:szCs w:val="24"/>
              </w:rPr>
              <w:t xml:space="preserve">$100 </w:t>
            </w:r>
            <w:r w:rsidR="006D3D69">
              <w:rPr>
                <w:rFonts w:ascii="Times New Roman" w:hAnsi="Times New Roman" w:cs="Times New Roman"/>
                <w:szCs w:val="24"/>
              </w:rPr>
              <w:t xml:space="preserve">annual </w:t>
            </w:r>
            <w:r w:rsidRPr="002F3B34">
              <w:rPr>
                <w:rFonts w:ascii="Times New Roman" w:hAnsi="Times New Roman" w:cs="Times New Roman"/>
                <w:szCs w:val="24"/>
              </w:rPr>
              <w:t xml:space="preserve">increase in </w:t>
            </w:r>
            <w:r w:rsidR="006D3D69">
              <w:rPr>
                <w:rFonts w:ascii="Times New Roman" w:hAnsi="Times New Roman" w:cs="Times New Roman"/>
                <w:szCs w:val="24"/>
              </w:rPr>
              <w:t>t</w:t>
            </w:r>
            <w:r w:rsidRPr="002F3B34">
              <w:rPr>
                <w:rFonts w:ascii="Times New Roman" w:hAnsi="Times New Roman" w:cs="Times New Roman"/>
                <w:szCs w:val="24"/>
              </w:rPr>
              <w:t>ax revenue</w:t>
            </w:r>
            <w:r w:rsidR="006D3D69" w:rsidRPr="006D3D69">
              <w:rPr>
                <w:rFonts w:ascii="Times New Roman" w:hAnsi="Times New Roman" w:cs="Times New Roman"/>
                <w:bCs/>
                <w:szCs w:val="24"/>
                <w:vertAlign w:val="superscript"/>
              </w:rPr>
              <w:t>†</w:t>
            </w:r>
          </w:p>
        </w:tc>
        <w:tc>
          <w:tcPr>
            <w:tcW w:w="1134" w:type="dxa"/>
            <w:vAlign w:val="bottom"/>
          </w:tcPr>
          <w:p w14:paraId="11074B98"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2.74</w:t>
            </w:r>
          </w:p>
        </w:tc>
        <w:tc>
          <w:tcPr>
            <w:tcW w:w="1134" w:type="dxa"/>
            <w:vAlign w:val="bottom"/>
          </w:tcPr>
          <w:p w14:paraId="5FEBB32D"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2.72</w:t>
            </w:r>
          </w:p>
        </w:tc>
        <w:tc>
          <w:tcPr>
            <w:tcW w:w="1312" w:type="dxa"/>
            <w:vAlign w:val="bottom"/>
          </w:tcPr>
          <w:p w14:paraId="70459E96"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0.023</w:t>
            </w:r>
          </w:p>
        </w:tc>
        <w:tc>
          <w:tcPr>
            <w:tcW w:w="876" w:type="dxa"/>
            <w:vAlign w:val="bottom"/>
          </w:tcPr>
          <w:p w14:paraId="39E1C725" w14:textId="77777777" w:rsidR="00BE348E" w:rsidRPr="002F3B34" w:rsidRDefault="005B555D" w:rsidP="007B30FB">
            <w:pPr>
              <w:pStyle w:val="NoSpacing"/>
              <w:framePr w:wrap="around"/>
              <w:jc w:val="center"/>
              <w:rPr>
                <w:rFonts w:ascii="Times New Roman" w:hAnsi="Times New Roman"/>
                <w:szCs w:val="24"/>
              </w:rPr>
            </w:pPr>
            <w:r w:rsidRPr="002F3B34">
              <w:rPr>
                <w:rFonts w:ascii="Times New Roman" w:hAnsi="Times New Roman"/>
              </w:rPr>
              <w:t>.</w:t>
            </w:r>
          </w:p>
        </w:tc>
      </w:tr>
      <w:tr w:rsidR="00BE348E" w:rsidRPr="002F3B34" w14:paraId="2316B38A" w14:textId="77777777" w:rsidTr="00A84EB0">
        <w:tc>
          <w:tcPr>
            <w:tcW w:w="4786" w:type="dxa"/>
          </w:tcPr>
          <w:p w14:paraId="461A15A8" w14:textId="77777777" w:rsidR="00BE348E" w:rsidRPr="002F3B34" w:rsidRDefault="00877629" w:rsidP="00877629">
            <w:pPr>
              <w:rPr>
                <w:rFonts w:ascii="Times New Roman" w:hAnsi="Times New Roman" w:cs="Times New Roman"/>
                <w:szCs w:val="24"/>
              </w:rPr>
            </w:pPr>
            <w:r w:rsidRPr="00877629">
              <w:rPr>
                <w:rFonts w:ascii="Times New Roman" w:hAnsi="Times New Roman" w:cs="Times New Roman"/>
                <w:szCs w:val="24"/>
              </w:rPr>
              <w:t xml:space="preserve">Public debt </w:t>
            </w:r>
            <w:r>
              <w:rPr>
                <w:rFonts w:ascii="Times New Roman" w:hAnsi="Times New Roman" w:cs="Times New Roman"/>
                <w:szCs w:val="24"/>
              </w:rPr>
              <w:t>(% GDP)</w:t>
            </w:r>
            <w:r w:rsidRPr="00877629">
              <w:rPr>
                <w:rFonts w:ascii="Times New Roman" w:hAnsi="Times New Roman" w:cs="Times New Roman"/>
                <w:szCs w:val="24"/>
              </w:rPr>
              <w:t xml:space="preserve"> in the previous year</w:t>
            </w:r>
          </w:p>
        </w:tc>
        <w:tc>
          <w:tcPr>
            <w:tcW w:w="1134" w:type="dxa"/>
            <w:vAlign w:val="bottom"/>
          </w:tcPr>
          <w:p w14:paraId="71BDADB6"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-1.87</w:t>
            </w:r>
          </w:p>
        </w:tc>
        <w:tc>
          <w:tcPr>
            <w:tcW w:w="1134" w:type="dxa"/>
            <w:vAlign w:val="bottom"/>
          </w:tcPr>
          <w:p w14:paraId="14BE1D99"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-0.17</w:t>
            </w:r>
          </w:p>
        </w:tc>
        <w:tc>
          <w:tcPr>
            <w:tcW w:w="1312" w:type="dxa"/>
            <w:vAlign w:val="bottom"/>
          </w:tcPr>
          <w:p w14:paraId="5C82416F" w14:textId="77777777" w:rsidR="00BE348E" w:rsidRPr="002F3B34" w:rsidRDefault="005B555D" w:rsidP="007B30FB">
            <w:pPr>
              <w:pStyle w:val="NoSpacing"/>
              <w:framePr w:wrap="around"/>
              <w:jc w:val="center"/>
              <w:rPr>
                <w:rFonts w:ascii="Times New Roman" w:hAnsi="Times New Roman"/>
                <w:szCs w:val="24"/>
              </w:rPr>
            </w:pPr>
            <w:r w:rsidRPr="002F3B34">
              <w:rPr>
                <w:rFonts w:ascii="Times New Roman" w:hAnsi="Times New Roman"/>
              </w:rPr>
              <w:t>-1.70</w:t>
            </w:r>
          </w:p>
        </w:tc>
        <w:tc>
          <w:tcPr>
            <w:tcW w:w="876" w:type="dxa"/>
            <w:vAlign w:val="bottom"/>
          </w:tcPr>
          <w:p w14:paraId="0C152AC6" w14:textId="77777777" w:rsidR="00BE348E" w:rsidRPr="002F3B34" w:rsidRDefault="005B555D" w:rsidP="007B30FB">
            <w:pPr>
              <w:pStyle w:val="NoSpacing"/>
              <w:framePr w:wrap="around"/>
              <w:jc w:val="center"/>
              <w:rPr>
                <w:rFonts w:ascii="Times New Roman" w:hAnsi="Times New Roman"/>
                <w:szCs w:val="24"/>
              </w:rPr>
            </w:pPr>
            <w:r w:rsidRPr="002F3B34">
              <w:rPr>
                <w:rFonts w:ascii="Times New Roman" w:hAnsi="Times New Roman"/>
              </w:rPr>
              <w:t>0.41</w:t>
            </w:r>
          </w:p>
        </w:tc>
      </w:tr>
      <w:tr w:rsidR="00BE348E" w:rsidRPr="002F3B34" w14:paraId="10D2F0C9" w14:textId="77777777" w:rsidTr="00A84EB0">
        <w:tc>
          <w:tcPr>
            <w:tcW w:w="4786" w:type="dxa"/>
          </w:tcPr>
          <w:p w14:paraId="38F28528" w14:textId="77777777" w:rsidR="00BE348E" w:rsidRPr="002F3B34" w:rsidRDefault="00BE348E" w:rsidP="007B30FB">
            <w:pPr>
              <w:rPr>
                <w:rFonts w:ascii="Times New Roman" w:hAnsi="Times New Roman" w:cs="Times New Roman"/>
                <w:szCs w:val="24"/>
              </w:rPr>
            </w:pPr>
            <w:r w:rsidRPr="002F3B34">
              <w:rPr>
                <w:rFonts w:ascii="Times New Roman" w:hAnsi="Times New Roman" w:cs="Times New Roman"/>
                <w:szCs w:val="24"/>
              </w:rPr>
              <w:t xml:space="preserve">Implemented austerity </w:t>
            </w:r>
            <w:r w:rsidR="006D3D69">
              <w:rPr>
                <w:rFonts w:ascii="Times New Roman" w:hAnsi="Times New Roman" w:cs="Times New Roman"/>
                <w:szCs w:val="24"/>
              </w:rPr>
              <w:t xml:space="preserve">budget </w:t>
            </w:r>
            <w:r w:rsidRPr="002F3B34">
              <w:rPr>
                <w:rFonts w:ascii="Times New Roman" w:hAnsi="Times New Roman" w:cs="Times New Roman"/>
                <w:szCs w:val="24"/>
              </w:rPr>
              <w:t xml:space="preserve">in </w:t>
            </w:r>
            <w:r w:rsidR="006D3D69">
              <w:rPr>
                <w:rFonts w:ascii="Times New Roman" w:hAnsi="Times New Roman" w:cs="Times New Roman"/>
                <w:szCs w:val="24"/>
              </w:rPr>
              <w:t>current year</w:t>
            </w:r>
          </w:p>
        </w:tc>
        <w:tc>
          <w:tcPr>
            <w:tcW w:w="1134" w:type="dxa"/>
            <w:vAlign w:val="bottom"/>
          </w:tcPr>
          <w:p w14:paraId="4AEB2912"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-63.91</w:t>
            </w:r>
          </w:p>
        </w:tc>
        <w:tc>
          <w:tcPr>
            <w:tcW w:w="1134" w:type="dxa"/>
            <w:vAlign w:val="bottom"/>
          </w:tcPr>
          <w:p w14:paraId="3A9373B4"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-64.48</w:t>
            </w:r>
          </w:p>
        </w:tc>
        <w:tc>
          <w:tcPr>
            <w:tcW w:w="1312" w:type="dxa"/>
            <w:vAlign w:val="bottom"/>
          </w:tcPr>
          <w:p w14:paraId="45CA83E7"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0.57</w:t>
            </w:r>
          </w:p>
        </w:tc>
        <w:tc>
          <w:tcPr>
            <w:tcW w:w="876" w:type="dxa"/>
            <w:vAlign w:val="bottom"/>
          </w:tcPr>
          <w:p w14:paraId="053301A6" w14:textId="77777777" w:rsidR="00BE348E" w:rsidRPr="002F3B34" w:rsidRDefault="005B555D" w:rsidP="007B30FB">
            <w:pPr>
              <w:pStyle w:val="NoSpacing"/>
              <w:framePr w:wrap="around"/>
              <w:jc w:val="center"/>
              <w:rPr>
                <w:rFonts w:ascii="Times New Roman" w:hAnsi="Times New Roman"/>
                <w:szCs w:val="24"/>
              </w:rPr>
            </w:pPr>
            <w:r w:rsidRPr="002F3B34">
              <w:rPr>
                <w:rFonts w:ascii="Times New Roman" w:hAnsi="Times New Roman"/>
              </w:rPr>
              <w:t>2.17</w:t>
            </w:r>
          </w:p>
        </w:tc>
      </w:tr>
      <w:tr w:rsidR="00BE348E" w:rsidRPr="002F3B34" w14:paraId="2BF70BEE" w14:textId="77777777" w:rsidTr="00A84EB0">
        <w:tc>
          <w:tcPr>
            <w:tcW w:w="4786" w:type="dxa"/>
          </w:tcPr>
          <w:p w14:paraId="076BFA55" w14:textId="77777777" w:rsidR="00BE348E" w:rsidRPr="002F3B34" w:rsidRDefault="00BE348E" w:rsidP="007B30FB">
            <w:pPr>
              <w:rPr>
                <w:rFonts w:ascii="Times New Roman" w:hAnsi="Times New Roman" w:cs="Times New Roman"/>
                <w:szCs w:val="24"/>
              </w:rPr>
            </w:pPr>
            <w:r w:rsidRPr="002F3B34">
              <w:rPr>
                <w:rFonts w:ascii="Times New Roman" w:hAnsi="Times New Roman" w:cs="Times New Roman"/>
                <w:szCs w:val="24"/>
              </w:rPr>
              <w:t xml:space="preserve">IMF bailout active in </w:t>
            </w:r>
            <w:r w:rsidR="006D3D69">
              <w:rPr>
                <w:rFonts w:ascii="Times New Roman" w:hAnsi="Times New Roman" w:cs="Times New Roman"/>
                <w:szCs w:val="24"/>
              </w:rPr>
              <w:t>current year</w:t>
            </w:r>
          </w:p>
        </w:tc>
        <w:tc>
          <w:tcPr>
            <w:tcW w:w="1134" w:type="dxa"/>
            <w:vAlign w:val="bottom"/>
          </w:tcPr>
          <w:p w14:paraId="546F41E7"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-14.86</w:t>
            </w:r>
          </w:p>
        </w:tc>
        <w:tc>
          <w:tcPr>
            <w:tcW w:w="1134" w:type="dxa"/>
            <w:vAlign w:val="bottom"/>
          </w:tcPr>
          <w:p w14:paraId="4B402F82"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-44.84</w:t>
            </w:r>
          </w:p>
        </w:tc>
        <w:tc>
          <w:tcPr>
            <w:tcW w:w="1312" w:type="dxa"/>
            <w:vAlign w:val="bottom"/>
          </w:tcPr>
          <w:p w14:paraId="786B59FA"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29.98</w:t>
            </w:r>
          </w:p>
        </w:tc>
        <w:tc>
          <w:tcPr>
            <w:tcW w:w="876" w:type="dxa"/>
            <w:vAlign w:val="bottom"/>
          </w:tcPr>
          <w:p w14:paraId="4967BE29" w14:textId="77777777" w:rsidR="00BE348E" w:rsidRPr="002F3B34" w:rsidRDefault="005B555D" w:rsidP="007B30FB">
            <w:pPr>
              <w:pStyle w:val="NoSpacing"/>
              <w:framePr w:wrap="around"/>
              <w:jc w:val="center"/>
              <w:rPr>
                <w:rFonts w:ascii="Times New Roman" w:hAnsi="Times New Roman"/>
                <w:szCs w:val="24"/>
              </w:rPr>
            </w:pPr>
            <w:r w:rsidRPr="002F3B34">
              <w:rPr>
                <w:rFonts w:ascii="Times New Roman" w:hAnsi="Times New Roman"/>
              </w:rPr>
              <w:t>18.03</w:t>
            </w:r>
          </w:p>
        </w:tc>
      </w:tr>
      <w:tr w:rsidR="00BE348E" w:rsidRPr="002F3B34" w14:paraId="183F4D96" w14:textId="77777777" w:rsidTr="00A84EB0">
        <w:tc>
          <w:tcPr>
            <w:tcW w:w="4786" w:type="dxa"/>
          </w:tcPr>
          <w:p w14:paraId="3F91658E" w14:textId="77777777" w:rsidR="00BE348E" w:rsidRPr="002F3B34" w:rsidRDefault="00BE348E" w:rsidP="007B30FB">
            <w:pPr>
              <w:rPr>
                <w:rFonts w:ascii="Times New Roman" w:hAnsi="Times New Roman" w:cs="Times New Roman"/>
                <w:szCs w:val="24"/>
              </w:rPr>
            </w:pPr>
            <w:r w:rsidRPr="002F3B34">
              <w:rPr>
                <w:rFonts w:ascii="Times New Roman" w:hAnsi="Times New Roman" w:cs="Times New Roman"/>
                <w:szCs w:val="24"/>
              </w:rPr>
              <w:t>Left</w:t>
            </w:r>
            <w:r w:rsidR="00633895">
              <w:rPr>
                <w:rFonts w:ascii="Times New Roman" w:hAnsi="Times New Roman" w:cs="Times New Roman"/>
                <w:szCs w:val="24"/>
              </w:rPr>
              <w:t xml:space="preserve"> governing party</w:t>
            </w:r>
          </w:p>
        </w:tc>
        <w:tc>
          <w:tcPr>
            <w:tcW w:w="1134" w:type="dxa"/>
            <w:vAlign w:val="bottom"/>
          </w:tcPr>
          <w:p w14:paraId="47F1C5FD"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-23.06</w:t>
            </w:r>
          </w:p>
        </w:tc>
        <w:tc>
          <w:tcPr>
            <w:tcW w:w="1134" w:type="dxa"/>
            <w:vAlign w:val="bottom"/>
          </w:tcPr>
          <w:p w14:paraId="214546BD"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-14.00</w:t>
            </w:r>
          </w:p>
        </w:tc>
        <w:tc>
          <w:tcPr>
            <w:tcW w:w="1312" w:type="dxa"/>
            <w:vAlign w:val="bottom"/>
          </w:tcPr>
          <w:p w14:paraId="79B7939A"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-9.06</w:t>
            </w:r>
          </w:p>
        </w:tc>
        <w:tc>
          <w:tcPr>
            <w:tcW w:w="876" w:type="dxa"/>
            <w:vAlign w:val="bottom"/>
          </w:tcPr>
          <w:p w14:paraId="12A67E13" w14:textId="77777777" w:rsidR="00BE348E" w:rsidRPr="002F3B34" w:rsidRDefault="005B555D" w:rsidP="007B30FB">
            <w:pPr>
              <w:pStyle w:val="NoSpacing"/>
              <w:framePr w:wrap="around"/>
              <w:jc w:val="center"/>
              <w:rPr>
                <w:rFonts w:ascii="Times New Roman" w:hAnsi="Times New Roman"/>
                <w:szCs w:val="24"/>
              </w:rPr>
            </w:pPr>
            <w:r w:rsidRPr="002F3B34">
              <w:rPr>
                <w:rFonts w:ascii="Times New Roman" w:hAnsi="Times New Roman"/>
              </w:rPr>
              <w:t>15.72</w:t>
            </w:r>
          </w:p>
        </w:tc>
      </w:tr>
      <w:tr w:rsidR="00BE348E" w:rsidRPr="002F3B34" w14:paraId="5025D9D5" w14:textId="77777777" w:rsidTr="00A84EB0">
        <w:tc>
          <w:tcPr>
            <w:tcW w:w="4786" w:type="dxa"/>
            <w:tcBorders>
              <w:bottom w:val="single" w:sz="4" w:space="0" w:color="auto"/>
            </w:tcBorders>
          </w:tcPr>
          <w:p w14:paraId="4F902D30" w14:textId="77777777" w:rsidR="00BE348E" w:rsidRPr="002F3B34" w:rsidRDefault="00BE348E" w:rsidP="007B30FB">
            <w:pPr>
              <w:rPr>
                <w:rFonts w:ascii="Times New Roman" w:hAnsi="Times New Roman" w:cs="Times New Roman"/>
                <w:szCs w:val="24"/>
              </w:rPr>
            </w:pPr>
            <w:r w:rsidRPr="002F3B34">
              <w:rPr>
                <w:rFonts w:ascii="Times New Roman" w:hAnsi="Times New Roman" w:cs="Times New Roman"/>
                <w:szCs w:val="24"/>
              </w:rPr>
              <w:t>Right</w:t>
            </w:r>
            <w:r w:rsidR="00633895">
              <w:rPr>
                <w:rFonts w:ascii="Times New Roman" w:hAnsi="Times New Roman" w:cs="Times New Roman"/>
                <w:szCs w:val="24"/>
              </w:rPr>
              <w:t xml:space="preserve"> governing party</w:t>
            </w:r>
          </w:p>
        </w:tc>
        <w:tc>
          <w:tcPr>
            <w:tcW w:w="1134" w:type="dxa"/>
            <w:tcBorders>
              <w:bottom w:val="single" w:sz="4" w:space="0" w:color="auto"/>
            </w:tcBorders>
            <w:vAlign w:val="bottom"/>
          </w:tcPr>
          <w:p w14:paraId="69225F08"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-23.47</w:t>
            </w:r>
          </w:p>
        </w:tc>
        <w:tc>
          <w:tcPr>
            <w:tcW w:w="1134" w:type="dxa"/>
            <w:tcBorders>
              <w:bottom w:val="single" w:sz="4" w:space="0" w:color="auto"/>
            </w:tcBorders>
            <w:vAlign w:val="bottom"/>
          </w:tcPr>
          <w:p w14:paraId="66A49284"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-10.82</w:t>
            </w:r>
          </w:p>
        </w:tc>
        <w:tc>
          <w:tcPr>
            <w:tcW w:w="1312" w:type="dxa"/>
            <w:tcBorders>
              <w:bottom w:val="single" w:sz="4" w:space="0" w:color="auto"/>
            </w:tcBorders>
            <w:vAlign w:val="bottom"/>
          </w:tcPr>
          <w:p w14:paraId="5295BF46" w14:textId="77777777" w:rsidR="00BE348E" w:rsidRPr="002F3B34" w:rsidRDefault="00BE348E" w:rsidP="007B30FB">
            <w:pPr>
              <w:pStyle w:val="NoSpacing"/>
              <w:framePr w:wrap="around"/>
              <w:jc w:val="center"/>
              <w:rPr>
                <w:rFonts w:ascii="Times New Roman" w:hAnsi="Times New Roman"/>
                <w:szCs w:val="24"/>
              </w:rPr>
            </w:pPr>
            <w:r w:rsidRPr="002F3B34">
              <w:rPr>
                <w:rFonts w:ascii="Times New Roman" w:hAnsi="Times New Roman"/>
              </w:rPr>
              <w:t>-12.65</w:t>
            </w:r>
          </w:p>
        </w:tc>
        <w:tc>
          <w:tcPr>
            <w:tcW w:w="876" w:type="dxa"/>
            <w:tcBorders>
              <w:bottom w:val="single" w:sz="4" w:space="0" w:color="auto"/>
            </w:tcBorders>
            <w:vAlign w:val="bottom"/>
          </w:tcPr>
          <w:p w14:paraId="55D7BACB" w14:textId="77777777" w:rsidR="00BE348E" w:rsidRPr="002F3B34" w:rsidRDefault="005B555D" w:rsidP="007B30FB">
            <w:pPr>
              <w:pStyle w:val="NoSpacing"/>
              <w:framePr w:wrap="around"/>
              <w:jc w:val="center"/>
              <w:rPr>
                <w:rFonts w:ascii="Times New Roman" w:hAnsi="Times New Roman"/>
                <w:szCs w:val="24"/>
              </w:rPr>
            </w:pPr>
            <w:r w:rsidRPr="002F3B34">
              <w:rPr>
                <w:rFonts w:ascii="Times New Roman" w:hAnsi="Times New Roman"/>
              </w:rPr>
              <w:t>15.53</w:t>
            </w:r>
          </w:p>
        </w:tc>
      </w:tr>
    </w:tbl>
    <w:p w14:paraId="5722A348" w14:textId="77777777" w:rsidR="00BE348E" w:rsidRPr="002F3B34" w:rsidRDefault="00BE348E" w:rsidP="00BE348E">
      <w:pPr>
        <w:rPr>
          <w:rFonts w:ascii="Times New Roman" w:hAnsi="Times New Roman" w:cs="Times New Roman"/>
          <w:sz w:val="20"/>
          <w:szCs w:val="20"/>
        </w:rPr>
      </w:pPr>
      <w:r w:rsidRPr="00A84EB0">
        <w:rPr>
          <w:rFonts w:ascii="Times New Roman" w:hAnsi="Times New Roman" w:cs="Times New Roman"/>
          <w:i/>
          <w:sz w:val="20"/>
          <w:szCs w:val="20"/>
        </w:rPr>
        <w:t>Notes:</w:t>
      </w:r>
      <w:r w:rsidR="002A175E">
        <w:rPr>
          <w:rFonts w:ascii="Times New Roman" w:hAnsi="Times New Roman" w:cs="Times New Roman"/>
          <w:sz w:val="20"/>
          <w:szCs w:val="20"/>
        </w:rPr>
        <w:t xml:space="preserve"> </w:t>
      </w:r>
      <w:r w:rsidRPr="002F3B34">
        <w:rPr>
          <w:rFonts w:ascii="Times New Roman" w:hAnsi="Times New Roman" w:cs="Times New Roman"/>
          <w:sz w:val="20"/>
          <w:szCs w:val="20"/>
        </w:rPr>
        <w:t>Test statistic for the Hausman test: χ</w:t>
      </w:r>
      <w:r w:rsidRPr="002F3B34">
        <w:rPr>
          <w:rFonts w:ascii="Times New Roman" w:hAnsi="Times New Roman" w:cs="Times New Roman"/>
          <w:sz w:val="20"/>
          <w:szCs w:val="20"/>
          <w:vertAlign w:val="superscript"/>
        </w:rPr>
        <w:t>2</w:t>
      </w:r>
      <w:r w:rsidRPr="002F3B34">
        <w:rPr>
          <w:rFonts w:ascii="Times New Roman" w:hAnsi="Times New Roman" w:cs="Times New Roman"/>
          <w:sz w:val="20"/>
          <w:szCs w:val="20"/>
        </w:rPr>
        <w:t xml:space="preserve"> = 52.15, p &lt; 0.001.</w:t>
      </w:r>
    </w:p>
    <w:p w14:paraId="66DEF85D" w14:textId="77777777" w:rsidR="006D3D69" w:rsidRPr="006D3D69" w:rsidRDefault="006D3D69" w:rsidP="006D3D69">
      <w:pPr>
        <w:rPr>
          <w:rFonts w:ascii="Times New Roman" w:hAnsi="Times New Roman" w:cs="Times New Roman"/>
          <w:bCs/>
          <w:sz w:val="20"/>
          <w:szCs w:val="20"/>
        </w:rPr>
      </w:pPr>
      <w:r w:rsidRPr="006D3D69">
        <w:rPr>
          <w:rFonts w:ascii="Times New Roman" w:hAnsi="Times New Roman" w:cs="Times New Roman"/>
          <w:bCs/>
          <w:sz w:val="20"/>
          <w:szCs w:val="20"/>
          <w:vertAlign w:val="superscript"/>
        </w:rPr>
        <w:t xml:space="preserve">† </w:t>
      </w:r>
      <w:r w:rsidRPr="006D3D69">
        <w:rPr>
          <w:rFonts w:ascii="Times New Roman" w:hAnsi="Times New Roman" w:cs="Times New Roman"/>
          <w:bCs/>
          <w:sz w:val="20"/>
          <w:szCs w:val="20"/>
        </w:rPr>
        <w:t>- units in real per capita, in constant purchasing-power-parity USD</w:t>
      </w:r>
    </w:p>
    <w:p w14:paraId="12EB079E" w14:textId="77777777" w:rsidR="006D3D69" w:rsidRPr="00A04F75" w:rsidRDefault="006D3D69" w:rsidP="00BE348E">
      <w:pPr>
        <w:rPr>
          <w:rFonts w:ascii="Times New Roman" w:hAnsi="Times New Roman" w:cs="Times New Roman"/>
          <w:sz w:val="20"/>
          <w:szCs w:val="20"/>
        </w:rPr>
      </w:pPr>
    </w:p>
    <w:p w14:paraId="5D8FE73A" w14:textId="77777777" w:rsidR="00BE348E" w:rsidRPr="002F3B34" w:rsidRDefault="00BE348E" w:rsidP="00BE348E">
      <w:pPr>
        <w:rPr>
          <w:rFonts w:ascii="Times New Roman" w:hAnsi="Times New Roman" w:cs="Times New Roman"/>
          <w:szCs w:val="24"/>
        </w:rPr>
      </w:pPr>
    </w:p>
    <w:p w14:paraId="74A68A10" w14:textId="77777777" w:rsidR="00BE348E" w:rsidRPr="002F3B34" w:rsidRDefault="00BE348E" w:rsidP="00BE348E">
      <w:pPr>
        <w:rPr>
          <w:rFonts w:ascii="Times New Roman" w:hAnsi="Times New Roman" w:cs="Times New Roman"/>
          <w:szCs w:val="24"/>
        </w:rPr>
      </w:pPr>
      <w:r w:rsidRPr="002F3B34">
        <w:rPr>
          <w:rFonts w:ascii="Times New Roman" w:hAnsi="Times New Roman" w:cs="Times New Roman"/>
          <w:szCs w:val="24"/>
        </w:rPr>
        <w:br w:type="page"/>
      </w:r>
    </w:p>
    <w:p w14:paraId="340B7A87" w14:textId="77777777" w:rsidR="00BE348E" w:rsidRDefault="00BE348E" w:rsidP="00BE348E">
      <w:pPr>
        <w:rPr>
          <w:rFonts w:ascii="Times New Roman" w:hAnsi="Times New Roman" w:cs="Times New Roman"/>
          <w:szCs w:val="24"/>
        </w:rPr>
      </w:pPr>
      <w:r w:rsidRPr="002F3B34">
        <w:rPr>
          <w:rFonts w:ascii="Times New Roman" w:hAnsi="Times New Roman" w:cs="Times New Roman"/>
          <w:szCs w:val="24"/>
        </w:rPr>
        <w:t xml:space="preserve">Web Appendix </w:t>
      </w:r>
      <w:r w:rsidR="007D1F11" w:rsidRPr="00A04F75">
        <w:rPr>
          <w:rFonts w:ascii="Times New Roman" w:hAnsi="Times New Roman" w:cs="Times New Roman"/>
          <w:szCs w:val="24"/>
        </w:rPr>
        <w:t>6</w:t>
      </w:r>
      <w:r w:rsidRPr="002F3B34">
        <w:rPr>
          <w:rFonts w:ascii="Times New Roman" w:hAnsi="Times New Roman" w:cs="Times New Roman"/>
          <w:szCs w:val="24"/>
        </w:rPr>
        <w:t xml:space="preserve">: Treatment selection model for IMF intervention among 27 EU countries, 1995-2011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279"/>
        <w:gridCol w:w="1275"/>
      </w:tblGrid>
      <w:tr w:rsidR="002A175E" w:rsidRPr="002F3B34" w14:paraId="44940912" w14:textId="77777777" w:rsidTr="002A175E">
        <w:tc>
          <w:tcPr>
            <w:tcW w:w="3077" w:type="pct"/>
            <w:tcBorders>
              <w:bottom w:val="single" w:sz="4" w:space="0" w:color="auto"/>
            </w:tcBorders>
          </w:tcPr>
          <w:p w14:paraId="37686A7B" w14:textId="77777777" w:rsidR="002A175E" w:rsidRPr="002F3B34" w:rsidRDefault="002A175E" w:rsidP="002A175E">
            <w:pPr>
              <w:rPr>
                <w:rFonts w:ascii="Times New Roman" w:hAnsi="Times New Roman" w:cs="Times New Roman"/>
              </w:rPr>
            </w:pPr>
            <w:r w:rsidRPr="002F3B34">
              <w:rPr>
                <w:rFonts w:ascii="Times New Roman" w:hAnsi="Times New Roman" w:cs="Times New Roman"/>
              </w:rPr>
              <w:t>Models and covariates</w:t>
            </w:r>
          </w:p>
        </w:tc>
        <w:tc>
          <w:tcPr>
            <w:tcW w:w="1923" w:type="pct"/>
            <w:gridSpan w:val="2"/>
            <w:tcBorders>
              <w:bottom w:val="single" w:sz="4" w:space="0" w:color="auto"/>
            </w:tcBorders>
          </w:tcPr>
          <w:p w14:paraId="3BC9B791" w14:textId="77777777" w:rsidR="002A175E" w:rsidRPr="002F3B34" w:rsidRDefault="002A175E" w:rsidP="002A175E">
            <w:pPr>
              <w:jc w:val="center"/>
              <w:rPr>
                <w:rFonts w:ascii="Times New Roman" w:hAnsi="Times New Roman" w:cs="Times New Roman"/>
              </w:rPr>
            </w:pPr>
          </w:p>
        </w:tc>
      </w:tr>
      <w:tr w:rsidR="002A175E" w:rsidRPr="002F3B34" w14:paraId="07ED9B9B" w14:textId="77777777" w:rsidTr="002A175E">
        <w:tc>
          <w:tcPr>
            <w:tcW w:w="4310" w:type="pct"/>
            <w:gridSpan w:val="2"/>
            <w:tcBorders>
              <w:top w:val="single" w:sz="4" w:space="0" w:color="auto"/>
              <w:bottom w:val="single" w:sz="4" w:space="0" w:color="auto"/>
            </w:tcBorders>
          </w:tcPr>
          <w:p w14:paraId="7E2CD7BE" w14:textId="77777777" w:rsidR="002A175E" w:rsidRPr="006D3D69" w:rsidRDefault="002A175E" w:rsidP="002A175E">
            <w:pPr>
              <w:rPr>
                <w:rFonts w:ascii="Times New Roman" w:hAnsi="Times New Roman" w:cs="Times New Roman"/>
                <w:b/>
                <w:bCs/>
              </w:rPr>
            </w:pPr>
            <w:r w:rsidRPr="006D3D69">
              <w:rPr>
                <w:rFonts w:ascii="Times New Roman" w:hAnsi="Times New Roman" w:cs="Times New Roman"/>
                <w:b/>
                <w:bCs/>
              </w:rPr>
              <w:t xml:space="preserve">Second Stage Random Effects Regression model: </w:t>
            </w:r>
          </w:p>
          <w:p w14:paraId="195D9CEC" w14:textId="77777777" w:rsidR="002A175E" w:rsidRPr="002F3B34" w:rsidRDefault="002A175E" w:rsidP="002A175E">
            <w:pPr>
              <w:rPr>
                <w:rFonts w:ascii="Times New Roman" w:hAnsi="Times New Roman" w:cs="Times New Roman"/>
              </w:rPr>
            </w:pPr>
            <w:r w:rsidRPr="006D3D69">
              <w:rPr>
                <w:rFonts w:ascii="Times New Roman" w:hAnsi="Times New Roman" w:cs="Times New Roman"/>
                <w:b/>
                <w:i/>
              </w:rPr>
              <w:t xml:space="preserve">Dependent Variable: </w:t>
            </w:r>
            <w:r w:rsidRPr="006D3D69">
              <w:rPr>
                <w:rFonts w:ascii="Times New Roman" w:hAnsi="Times New Roman" w:cs="Times New Roman"/>
                <w:b/>
              </w:rPr>
              <w:t>Annual change in government spending on health</w:t>
            </w:r>
            <w:r w:rsidRPr="006D3D69">
              <w:rPr>
                <w:rFonts w:ascii="Times New Roman" w:hAnsi="Times New Roman" w:cs="Times New Roman"/>
                <w:b/>
                <w:vertAlign w:val="superscript"/>
              </w:rPr>
              <w:t>†</w:t>
            </w:r>
          </w:p>
        </w:tc>
        <w:tc>
          <w:tcPr>
            <w:tcW w:w="690" w:type="pct"/>
            <w:tcBorders>
              <w:top w:val="single" w:sz="4" w:space="0" w:color="auto"/>
              <w:bottom w:val="single" w:sz="4" w:space="0" w:color="auto"/>
            </w:tcBorders>
          </w:tcPr>
          <w:p w14:paraId="3759B7D1" w14:textId="77777777" w:rsidR="002A175E" w:rsidRPr="002F3B34" w:rsidRDefault="002A175E" w:rsidP="002A175E">
            <w:pPr>
              <w:jc w:val="center"/>
              <w:rPr>
                <w:rFonts w:ascii="Times New Roman" w:hAnsi="Times New Roman" w:cs="Times New Roman"/>
              </w:rPr>
            </w:pPr>
          </w:p>
        </w:tc>
      </w:tr>
      <w:tr w:rsidR="002A175E" w:rsidRPr="002F3B34" w14:paraId="603BEF37" w14:textId="77777777" w:rsidTr="002A175E">
        <w:tc>
          <w:tcPr>
            <w:tcW w:w="3077" w:type="pct"/>
            <w:tcBorders>
              <w:top w:val="single" w:sz="4" w:space="0" w:color="auto"/>
            </w:tcBorders>
          </w:tcPr>
          <w:p w14:paraId="41773225"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02330C">
              <w:rPr>
                <w:rFonts w:ascii="Times New Roman" w:hAnsi="Times New Roman" w:cs="Times New Roman"/>
              </w:rPr>
              <w:t>$10 annual increase in GDP</w:t>
            </w:r>
            <w:r w:rsidRPr="0002330C">
              <w:rPr>
                <w:rFonts w:ascii="Times New Roman" w:hAnsi="Times New Roman" w:cs="Times New Roman"/>
                <w:vertAlign w:val="superscript"/>
              </w:rPr>
              <w:t>†</w:t>
            </w:r>
          </w:p>
        </w:tc>
        <w:tc>
          <w:tcPr>
            <w:tcW w:w="1923" w:type="pct"/>
            <w:gridSpan w:val="2"/>
            <w:tcBorders>
              <w:top w:val="single" w:sz="4" w:space="0" w:color="auto"/>
            </w:tcBorders>
          </w:tcPr>
          <w:p w14:paraId="14CB8F0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0.090</w:t>
            </w:r>
          </w:p>
        </w:tc>
      </w:tr>
      <w:tr w:rsidR="002A175E" w:rsidRPr="002F3B34" w14:paraId="3A47BA73" w14:textId="77777777" w:rsidTr="002A175E">
        <w:tc>
          <w:tcPr>
            <w:tcW w:w="3077" w:type="pct"/>
          </w:tcPr>
          <w:p w14:paraId="7654F6BB"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348A576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w:t>
            </w:r>
            <w:r w:rsidRPr="00A04F75">
              <w:rPr>
                <w:rFonts w:ascii="Times New Roman" w:hAnsi="Times New Roman" w:cs="Times New Roman"/>
                <w:szCs w:val="24"/>
              </w:rPr>
              <w:t>048)</w:t>
            </w:r>
          </w:p>
        </w:tc>
      </w:tr>
      <w:tr w:rsidR="002A175E" w:rsidRPr="002F3B34" w14:paraId="2DF76FD2" w14:textId="77777777" w:rsidTr="002A175E">
        <w:tc>
          <w:tcPr>
            <w:tcW w:w="3077" w:type="pct"/>
          </w:tcPr>
          <w:p w14:paraId="6CC891CF"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658EAFB4"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30A96CB5" w14:textId="77777777" w:rsidTr="002A175E">
        <w:tc>
          <w:tcPr>
            <w:tcW w:w="3077" w:type="pct"/>
          </w:tcPr>
          <w:p w14:paraId="0889A68E"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02330C">
              <w:rPr>
                <w:rFonts w:ascii="Times New Roman" w:hAnsi="Times New Roman" w:cs="Times New Roman"/>
              </w:rPr>
              <w:t>$100 annual increase in tax revenue</w:t>
            </w:r>
            <w:r w:rsidRPr="0002330C">
              <w:rPr>
                <w:rFonts w:ascii="Times New Roman" w:hAnsi="Times New Roman" w:cs="Times New Roman"/>
                <w:vertAlign w:val="superscript"/>
              </w:rPr>
              <w:t>†</w:t>
            </w:r>
          </w:p>
        </w:tc>
        <w:tc>
          <w:tcPr>
            <w:tcW w:w="1923" w:type="pct"/>
            <w:gridSpan w:val="2"/>
          </w:tcPr>
          <w:p w14:paraId="23C7523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2.66</w:t>
            </w:r>
            <w:r w:rsidRPr="00A04F75">
              <w:rPr>
                <w:rFonts w:ascii="Times New Roman" w:hAnsi="Times New Roman" w:cs="Times New Roman"/>
                <w:szCs w:val="24"/>
                <w:vertAlign w:val="superscript"/>
              </w:rPr>
              <w:t>**</w:t>
            </w:r>
          </w:p>
        </w:tc>
      </w:tr>
      <w:tr w:rsidR="002A175E" w:rsidRPr="002F3B34" w14:paraId="571307ED" w14:textId="77777777" w:rsidTr="002A175E">
        <w:tc>
          <w:tcPr>
            <w:tcW w:w="3077" w:type="pct"/>
          </w:tcPr>
          <w:p w14:paraId="6EBC311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44B461A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w:t>
            </w:r>
            <w:r w:rsidRPr="00A04F75">
              <w:rPr>
                <w:rFonts w:ascii="Times New Roman" w:hAnsi="Times New Roman" w:cs="Times New Roman"/>
                <w:szCs w:val="24"/>
              </w:rPr>
              <w:t>87)</w:t>
            </w:r>
          </w:p>
        </w:tc>
      </w:tr>
      <w:tr w:rsidR="002A175E" w:rsidRPr="002F3B34" w14:paraId="2CE624BE" w14:textId="77777777" w:rsidTr="002A175E">
        <w:tc>
          <w:tcPr>
            <w:tcW w:w="3077" w:type="pct"/>
          </w:tcPr>
          <w:p w14:paraId="1023FB26"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4F66916F"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29DC5D75" w14:textId="77777777" w:rsidTr="002A175E">
        <w:tc>
          <w:tcPr>
            <w:tcW w:w="3077" w:type="pct"/>
          </w:tcPr>
          <w:p w14:paraId="141C6990"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02330C">
              <w:rPr>
                <w:rFonts w:ascii="Times New Roman" w:hAnsi="Times New Roman" w:cs="Times New Roman"/>
              </w:rPr>
              <w:t>Public debt as a percentage of GDP in previous year</w:t>
            </w:r>
          </w:p>
        </w:tc>
        <w:tc>
          <w:tcPr>
            <w:tcW w:w="1923" w:type="pct"/>
            <w:gridSpan w:val="2"/>
          </w:tcPr>
          <w:p w14:paraId="210A794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-0.18</w:t>
            </w:r>
          </w:p>
        </w:tc>
      </w:tr>
      <w:tr w:rsidR="002A175E" w:rsidRPr="002F3B34" w14:paraId="0CC8E43D" w14:textId="77777777" w:rsidTr="002A175E">
        <w:tc>
          <w:tcPr>
            <w:tcW w:w="3077" w:type="pct"/>
          </w:tcPr>
          <w:p w14:paraId="05FA2D3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69A57D6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(0.17</w:t>
            </w:r>
            <w:r w:rsidRPr="00A04F75">
              <w:rPr>
                <w:rFonts w:ascii="Times New Roman" w:hAnsi="Times New Roman" w:cs="Times New Roman"/>
                <w:szCs w:val="24"/>
              </w:rPr>
              <w:t>)</w:t>
            </w:r>
          </w:p>
        </w:tc>
      </w:tr>
      <w:tr w:rsidR="002A175E" w:rsidRPr="002F3B34" w14:paraId="7D973E22" w14:textId="77777777" w:rsidTr="002A175E">
        <w:tc>
          <w:tcPr>
            <w:tcW w:w="3077" w:type="pct"/>
          </w:tcPr>
          <w:p w14:paraId="11E8A964"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25B721C5"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5FA27774" w14:textId="77777777" w:rsidTr="002A175E">
        <w:tc>
          <w:tcPr>
            <w:tcW w:w="3077" w:type="pct"/>
          </w:tcPr>
          <w:p w14:paraId="2E3787B4"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02330C">
              <w:rPr>
                <w:rFonts w:ascii="Times New Roman" w:hAnsi="Times New Roman" w:cs="Times New Roman"/>
              </w:rPr>
              <w:t>Implemented austerity budget in current year</w:t>
            </w:r>
          </w:p>
        </w:tc>
        <w:tc>
          <w:tcPr>
            <w:tcW w:w="1923" w:type="pct"/>
            <w:gridSpan w:val="2"/>
          </w:tcPr>
          <w:p w14:paraId="235DC6D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Pr="00A04F75">
              <w:rPr>
                <w:rFonts w:ascii="Times New Roman" w:hAnsi="Times New Roman" w:cs="Times New Roman"/>
                <w:szCs w:val="24"/>
              </w:rPr>
              <w:t>64.0</w:t>
            </w:r>
            <w:r w:rsidRPr="00A04F75">
              <w:rPr>
                <w:rFonts w:ascii="Times New Roman" w:hAnsi="Times New Roman" w:cs="Times New Roman"/>
                <w:szCs w:val="24"/>
                <w:vertAlign w:val="superscript"/>
              </w:rPr>
              <w:t>**</w:t>
            </w:r>
          </w:p>
        </w:tc>
      </w:tr>
      <w:tr w:rsidR="002A175E" w:rsidRPr="002F3B34" w14:paraId="1D39FEBE" w14:textId="77777777" w:rsidTr="002A175E">
        <w:tc>
          <w:tcPr>
            <w:tcW w:w="3077" w:type="pct"/>
          </w:tcPr>
          <w:p w14:paraId="76CD8A4F"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463FEB7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(9.</w:t>
            </w:r>
            <w:r w:rsidRPr="00A04F75">
              <w:rPr>
                <w:rFonts w:ascii="Times New Roman" w:hAnsi="Times New Roman" w:cs="Times New Roman"/>
                <w:szCs w:val="24"/>
              </w:rPr>
              <w:t>62)</w:t>
            </w:r>
          </w:p>
        </w:tc>
      </w:tr>
      <w:tr w:rsidR="002A175E" w:rsidRPr="002F3B34" w14:paraId="4D9CDD3D" w14:textId="77777777" w:rsidTr="002A175E">
        <w:tc>
          <w:tcPr>
            <w:tcW w:w="3077" w:type="pct"/>
          </w:tcPr>
          <w:p w14:paraId="54EE7AD1"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5BEA7BD1"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5188F81E" w14:textId="77777777" w:rsidTr="002A175E">
        <w:tc>
          <w:tcPr>
            <w:tcW w:w="3077" w:type="pct"/>
          </w:tcPr>
          <w:p w14:paraId="15E03E9C"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Left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1923" w:type="pct"/>
            <w:gridSpan w:val="2"/>
          </w:tcPr>
          <w:p w14:paraId="56CEAB2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-13.1</w:t>
            </w:r>
          </w:p>
        </w:tc>
      </w:tr>
      <w:tr w:rsidR="002A175E" w:rsidRPr="002F3B34" w14:paraId="67646A7B" w14:textId="77777777" w:rsidTr="002A175E">
        <w:tc>
          <w:tcPr>
            <w:tcW w:w="3077" w:type="pct"/>
          </w:tcPr>
          <w:p w14:paraId="0EA387E5"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32A10C5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Pr="00A04F75">
              <w:rPr>
                <w:rFonts w:ascii="Times New Roman" w:hAnsi="Times New Roman" w:cs="Times New Roman"/>
                <w:szCs w:val="24"/>
              </w:rPr>
              <w:t>12.9)</w:t>
            </w:r>
          </w:p>
        </w:tc>
      </w:tr>
      <w:tr w:rsidR="002A175E" w:rsidRPr="002F3B34" w14:paraId="725AE211" w14:textId="77777777" w:rsidTr="002A175E">
        <w:tc>
          <w:tcPr>
            <w:tcW w:w="3077" w:type="pct"/>
          </w:tcPr>
          <w:p w14:paraId="1255E5F3"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04635906"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06D04290" w14:textId="77777777" w:rsidTr="002A175E">
        <w:tc>
          <w:tcPr>
            <w:tcW w:w="3077" w:type="pct"/>
          </w:tcPr>
          <w:p w14:paraId="239F8A6F"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Right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1923" w:type="pct"/>
            <w:gridSpan w:val="2"/>
          </w:tcPr>
          <w:p w14:paraId="3A8E794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-10.2</w:t>
            </w:r>
          </w:p>
        </w:tc>
      </w:tr>
      <w:tr w:rsidR="002A175E" w:rsidRPr="002F3B34" w14:paraId="5D886B71" w14:textId="77777777" w:rsidTr="002A175E">
        <w:tc>
          <w:tcPr>
            <w:tcW w:w="3077" w:type="pct"/>
          </w:tcPr>
          <w:p w14:paraId="7E963BA4"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647AFEA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Pr="00A04F75">
              <w:rPr>
                <w:rFonts w:ascii="Times New Roman" w:hAnsi="Times New Roman" w:cs="Times New Roman"/>
                <w:szCs w:val="24"/>
              </w:rPr>
              <w:t>13.4)</w:t>
            </w:r>
          </w:p>
        </w:tc>
      </w:tr>
      <w:tr w:rsidR="002A175E" w:rsidRPr="002F3B34" w14:paraId="3751C6AF" w14:textId="77777777" w:rsidTr="002A175E">
        <w:tc>
          <w:tcPr>
            <w:tcW w:w="3077" w:type="pct"/>
          </w:tcPr>
          <w:p w14:paraId="558EA3EB"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923" w:type="pct"/>
            <w:gridSpan w:val="2"/>
          </w:tcPr>
          <w:p w14:paraId="5C334E5A"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5984F90A" w14:textId="77777777" w:rsidTr="002A175E">
        <w:tc>
          <w:tcPr>
            <w:tcW w:w="3077" w:type="pct"/>
          </w:tcPr>
          <w:p w14:paraId="5740084E" w14:textId="77777777" w:rsidR="002A175E" w:rsidRPr="002F3B34" w:rsidRDefault="002A175E" w:rsidP="002A175E">
            <w:pPr>
              <w:widowControl w:val="0"/>
              <w:autoSpaceDE w:val="0"/>
              <w:autoSpaceDN w:val="0"/>
              <w:adjustRightInd w:val="0"/>
              <w:rPr>
                <w:rFonts w:ascii="Times New Roman" w:hAnsi="Times New Roman" w:cs="Times New Roman"/>
                <w:b/>
                <w:szCs w:val="24"/>
              </w:rPr>
            </w:pPr>
            <w:r w:rsidRPr="002F3B34">
              <w:rPr>
                <w:rFonts w:ascii="Times New Roman" w:hAnsi="Times New Roman" w:cs="Times New Roman"/>
                <w:b/>
                <w:szCs w:val="24"/>
              </w:rPr>
              <w:t xml:space="preserve">IMF bailout active in </w:t>
            </w:r>
            <w:r>
              <w:rPr>
                <w:rFonts w:ascii="Times New Roman" w:hAnsi="Times New Roman" w:cs="Times New Roman"/>
                <w:b/>
                <w:szCs w:val="24"/>
              </w:rPr>
              <w:t>current year</w:t>
            </w:r>
          </w:p>
        </w:tc>
        <w:tc>
          <w:tcPr>
            <w:tcW w:w="1923" w:type="pct"/>
            <w:gridSpan w:val="2"/>
          </w:tcPr>
          <w:p w14:paraId="4E8B8548" w14:textId="77777777" w:rsidR="002A175E" w:rsidRPr="002F3B34" w:rsidRDefault="002A175E" w:rsidP="002A175E">
            <w:pPr>
              <w:widowControl w:val="0"/>
              <w:autoSpaceDE w:val="0"/>
              <w:autoSpaceDN w:val="0"/>
              <w:adjustRightInd w:val="0"/>
              <w:jc w:val="center"/>
              <w:rPr>
                <w:rFonts w:ascii="Times New Roman" w:hAnsi="Times New Roman" w:cs="Times New Roman"/>
                <w:b/>
                <w:szCs w:val="24"/>
              </w:rPr>
            </w:pPr>
            <w:r w:rsidRPr="00705EAC">
              <w:rPr>
                <w:rFonts w:ascii="Times New Roman" w:hAnsi="Times New Roman"/>
                <w:b/>
              </w:rPr>
              <w:t>-</w:t>
            </w:r>
            <w:r w:rsidRPr="0002330C">
              <w:rPr>
                <w:rFonts w:ascii="Times New Roman" w:hAnsi="Times New Roman" w:cs="Times New Roman"/>
                <w:b/>
                <w:szCs w:val="24"/>
              </w:rPr>
              <w:t>49.5</w:t>
            </w:r>
            <w:r w:rsidRPr="0002330C">
              <w:rPr>
                <w:rFonts w:ascii="Times New Roman" w:hAnsi="Times New Roman" w:cs="Times New Roman"/>
                <w:b/>
                <w:szCs w:val="24"/>
                <w:vertAlign w:val="superscript"/>
              </w:rPr>
              <w:t>*</w:t>
            </w:r>
          </w:p>
        </w:tc>
      </w:tr>
      <w:tr w:rsidR="002A175E" w:rsidRPr="002F3B34" w14:paraId="09732789" w14:textId="77777777" w:rsidTr="002A175E">
        <w:tc>
          <w:tcPr>
            <w:tcW w:w="3077" w:type="pct"/>
          </w:tcPr>
          <w:p w14:paraId="5D52E553" w14:textId="77777777" w:rsidR="002A175E" w:rsidRPr="002F3B34" w:rsidRDefault="002A175E" w:rsidP="002A175E">
            <w:pPr>
              <w:widowControl w:val="0"/>
              <w:autoSpaceDE w:val="0"/>
              <w:autoSpaceDN w:val="0"/>
              <w:adjustRightInd w:val="0"/>
              <w:rPr>
                <w:rFonts w:ascii="Times New Roman" w:hAnsi="Times New Roman" w:cs="Times New Roman"/>
                <w:b/>
                <w:szCs w:val="24"/>
              </w:rPr>
            </w:pPr>
          </w:p>
        </w:tc>
        <w:tc>
          <w:tcPr>
            <w:tcW w:w="1923" w:type="pct"/>
            <w:gridSpan w:val="2"/>
          </w:tcPr>
          <w:p w14:paraId="5034822F" w14:textId="77777777" w:rsidR="002A175E" w:rsidRPr="002F3B34" w:rsidRDefault="002A175E" w:rsidP="002A175E">
            <w:pPr>
              <w:widowControl w:val="0"/>
              <w:autoSpaceDE w:val="0"/>
              <w:autoSpaceDN w:val="0"/>
              <w:adjustRightInd w:val="0"/>
              <w:jc w:val="center"/>
              <w:rPr>
                <w:rFonts w:ascii="Times New Roman" w:hAnsi="Times New Roman" w:cs="Times New Roman"/>
                <w:b/>
                <w:szCs w:val="24"/>
              </w:rPr>
            </w:pPr>
            <w:r w:rsidRPr="0002330C">
              <w:rPr>
                <w:rFonts w:ascii="Times New Roman" w:hAnsi="Times New Roman" w:cs="Times New Roman"/>
                <w:b/>
                <w:szCs w:val="24"/>
              </w:rPr>
              <w:t>(24.0)</w:t>
            </w:r>
          </w:p>
        </w:tc>
      </w:tr>
      <w:tr w:rsidR="002A175E" w:rsidRPr="002F3B34" w14:paraId="63B9AD7D" w14:textId="77777777" w:rsidTr="002A175E">
        <w:tc>
          <w:tcPr>
            <w:tcW w:w="3077" w:type="pct"/>
          </w:tcPr>
          <w:p w14:paraId="21C059CF" w14:textId="77777777" w:rsidR="002A175E" w:rsidRPr="002F3B34" w:rsidRDefault="002A175E" w:rsidP="002A175E">
            <w:pPr>
              <w:rPr>
                <w:rFonts w:ascii="Times New Roman" w:hAnsi="Times New Roman" w:cs="Times New Roman"/>
              </w:rPr>
            </w:pPr>
          </w:p>
        </w:tc>
        <w:tc>
          <w:tcPr>
            <w:tcW w:w="1923" w:type="pct"/>
            <w:gridSpan w:val="2"/>
          </w:tcPr>
          <w:p w14:paraId="6B422606" w14:textId="77777777" w:rsidR="002A175E" w:rsidRPr="002F3B34" w:rsidRDefault="002A175E" w:rsidP="002A175E">
            <w:pPr>
              <w:rPr>
                <w:rFonts w:ascii="Times New Roman" w:hAnsi="Times New Roman" w:cs="Times New Roman"/>
              </w:rPr>
            </w:pPr>
          </w:p>
        </w:tc>
      </w:tr>
      <w:tr w:rsidR="002A175E" w:rsidRPr="00A04F75" w14:paraId="6159E8C0" w14:textId="77777777" w:rsidTr="002A175E">
        <w:tc>
          <w:tcPr>
            <w:tcW w:w="3077" w:type="pct"/>
          </w:tcPr>
          <w:p w14:paraId="6541713F" w14:textId="77777777" w:rsidR="002A175E" w:rsidRPr="00A04F75" w:rsidRDefault="002A175E" w:rsidP="002A175E">
            <w:pPr>
              <w:rPr>
                <w:rFonts w:ascii="Times New Roman" w:hAnsi="Times New Roman" w:cs="Times New Roman"/>
              </w:rPr>
            </w:pPr>
            <w:r w:rsidRPr="00A7430E">
              <w:rPr>
                <w:rFonts w:ascii="Times New Roman" w:hAnsi="Times New Roman" w:cs="Times New Roman"/>
              </w:rPr>
              <w:t>Hazard of borrowing from the IMF (λ)</w:t>
            </w:r>
          </w:p>
        </w:tc>
        <w:tc>
          <w:tcPr>
            <w:tcW w:w="1923" w:type="pct"/>
            <w:gridSpan w:val="2"/>
          </w:tcPr>
          <w:p w14:paraId="1AA259C0" w14:textId="77777777" w:rsidR="002A175E" w:rsidRDefault="002A175E" w:rsidP="002A175E">
            <w:pPr>
              <w:jc w:val="center"/>
              <w:rPr>
                <w:rFonts w:ascii="Times New Roman" w:hAnsi="Times New Roman" w:cs="Times New Roman"/>
              </w:rPr>
            </w:pPr>
            <w:r w:rsidRPr="00A04F75">
              <w:rPr>
                <w:rFonts w:ascii="Times New Roman" w:hAnsi="Times New Roman" w:cs="Times New Roman"/>
                <w:szCs w:val="24"/>
              </w:rPr>
              <w:t>4.96</w:t>
            </w:r>
          </w:p>
        </w:tc>
      </w:tr>
      <w:tr w:rsidR="002A175E" w:rsidRPr="00A04F75" w14:paraId="27607A84" w14:textId="77777777" w:rsidTr="002A175E">
        <w:tc>
          <w:tcPr>
            <w:tcW w:w="3077" w:type="pct"/>
          </w:tcPr>
          <w:p w14:paraId="5142EAF6" w14:textId="77777777" w:rsidR="002A175E" w:rsidRPr="00A04F75" w:rsidRDefault="002A175E" w:rsidP="002A175E">
            <w:pPr>
              <w:rPr>
                <w:rFonts w:ascii="Times New Roman" w:hAnsi="Times New Roman" w:cs="Times New Roman"/>
              </w:rPr>
            </w:pPr>
          </w:p>
        </w:tc>
        <w:tc>
          <w:tcPr>
            <w:tcW w:w="1923" w:type="pct"/>
            <w:gridSpan w:val="2"/>
          </w:tcPr>
          <w:p w14:paraId="0F3CB7B6" w14:textId="77777777" w:rsidR="002A175E" w:rsidRDefault="002A175E" w:rsidP="002A175E">
            <w:pPr>
              <w:jc w:val="center"/>
              <w:rPr>
                <w:rFonts w:ascii="Times New Roman" w:hAnsi="Times New Roman" w:cs="Times New Roman"/>
              </w:rPr>
            </w:pPr>
            <w:r w:rsidRPr="00A04F75">
              <w:rPr>
                <w:rFonts w:ascii="Times New Roman" w:hAnsi="Times New Roman" w:cs="Times New Roman"/>
                <w:szCs w:val="24"/>
              </w:rPr>
              <w:t>(18.7)</w:t>
            </w:r>
          </w:p>
        </w:tc>
      </w:tr>
      <w:tr w:rsidR="002A175E" w:rsidRPr="00A04F75" w14:paraId="33FB0297" w14:textId="77777777" w:rsidTr="002A175E">
        <w:tc>
          <w:tcPr>
            <w:tcW w:w="3077" w:type="pct"/>
          </w:tcPr>
          <w:p w14:paraId="3B48D2AD" w14:textId="77777777" w:rsidR="002A175E" w:rsidRPr="00A04F75" w:rsidRDefault="002A175E" w:rsidP="002A175E">
            <w:pPr>
              <w:rPr>
                <w:rFonts w:ascii="Times New Roman" w:hAnsi="Times New Roman" w:cs="Times New Roman"/>
              </w:rPr>
            </w:pPr>
          </w:p>
        </w:tc>
        <w:tc>
          <w:tcPr>
            <w:tcW w:w="1923" w:type="pct"/>
            <w:gridSpan w:val="2"/>
          </w:tcPr>
          <w:p w14:paraId="73C6FD94" w14:textId="77777777" w:rsidR="002A175E" w:rsidRPr="00A04F75" w:rsidRDefault="002A175E" w:rsidP="002A175E">
            <w:pPr>
              <w:rPr>
                <w:rFonts w:ascii="Times New Roman" w:hAnsi="Times New Roman" w:cs="Times New Roman"/>
              </w:rPr>
            </w:pPr>
          </w:p>
        </w:tc>
      </w:tr>
      <w:tr w:rsidR="002A175E" w:rsidRPr="002F3B34" w14:paraId="56290B34" w14:textId="77777777" w:rsidTr="002A175E">
        <w:tc>
          <w:tcPr>
            <w:tcW w:w="5000" w:type="pct"/>
            <w:gridSpan w:val="3"/>
            <w:tcBorders>
              <w:bottom w:val="single" w:sz="4" w:space="0" w:color="auto"/>
            </w:tcBorders>
          </w:tcPr>
          <w:p w14:paraId="3F9F1D04" w14:textId="77777777" w:rsidR="002A175E" w:rsidRPr="002F3B34" w:rsidRDefault="002A175E" w:rsidP="002A175E">
            <w:pPr>
              <w:rPr>
                <w:rFonts w:ascii="Times New Roman" w:hAnsi="Times New Roman" w:cs="Times New Roman"/>
                <w:b/>
                <w:sz w:val="28"/>
                <w:szCs w:val="28"/>
              </w:rPr>
            </w:pPr>
            <w:r w:rsidRPr="006D3D69">
              <w:rPr>
                <w:rFonts w:ascii="Times New Roman" w:hAnsi="Times New Roman" w:cs="Times New Roman"/>
                <w:b/>
                <w:szCs w:val="24"/>
              </w:rPr>
              <w:t>First Stage: Determinants of IMF Bailout in Current Year</w:t>
            </w:r>
          </w:p>
        </w:tc>
      </w:tr>
      <w:tr w:rsidR="002A175E" w:rsidRPr="002F3B34" w14:paraId="1038196B" w14:textId="77777777" w:rsidTr="002A175E">
        <w:tc>
          <w:tcPr>
            <w:tcW w:w="3077" w:type="pct"/>
            <w:tcBorders>
              <w:top w:val="single" w:sz="4" w:space="0" w:color="auto"/>
            </w:tcBorders>
          </w:tcPr>
          <w:p w14:paraId="7F9FA12E" w14:textId="77777777" w:rsidR="002A175E" w:rsidRPr="002F3B34" w:rsidRDefault="002A175E" w:rsidP="002A175E">
            <w:pPr>
              <w:rPr>
                <w:rFonts w:ascii="Times New Roman" w:hAnsi="Times New Roman" w:cs="Times New Roman"/>
              </w:rPr>
            </w:pPr>
            <w:r w:rsidRPr="0002330C">
              <w:rPr>
                <w:rFonts w:ascii="Times New Roman" w:hAnsi="Times New Roman" w:cs="Times New Roman"/>
              </w:rPr>
              <w:t xml:space="preserve">$10 increase in GDP in </w:t>
            </w:r>
            <w:r>
              <w:rPr>
                <w:rFonts w:ascii="Times New Roman" w:hAnsi="Times New Roman" w:cs="Times New Roman"/>
              </w:rPr>
              <w:t>previous</w:t>
            </w:r>
            <w:r w:rsidRPr="0002330C">
              <w:rPr>
                <w:rFonts w:ascii="Times New Roman" w:hAnsi="Times New Roman" w:cs="Times New Roman"/>
              </w:rPr>
              <w:t xml:space="preserve"> year</w:t>
            </w:r>
            <w:r w:rsidRPr="0002330C">
              <w:rPr>
                <w:rFonts w:ascii="Times New Roman" w:hAnsi="Times New Roman" w:cs="Times New Roman"/>
                <w:vertAlign w:val="superscript"/>
              </w:rPr>
              <w:t>†</w:t>
            </w:r>
          </w:p>
        </w:tc>
        <w:tc>
          <w:tcPr>
            <w:tcW w:w="1923" w:type="pct"/>
            <w:gridSpan w:val="2"/>
            <w:tcBorders>
              <w:top w:val="single" w:sz="4" w:space="0" w:color="auto"/>
            </w:tcBorders>
          </w:tcPr>
          <w:p w14:paraId="29F7530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w:t>
            </w:r>
            <w:r w:rsidRPr="00A04F75">
              <w:rPr>
                <w:rFonts w:ascii="Times New Roman" w:hAnsi="Times New Roman" w:cs="Times New Roman"/>
                <w:szCs w:val="24"/>
              </w:rPr>
              <w:t>0049</w:t>
            </w:r>
            <w:r w:rsidRPr="00A04F75">
              <w:rPr>
                <w:rFonts w:ascii="Times New Roman" w:hAnsi="Times New Roman" w:cs="Times New Roman"/>
                <w:szCs w:val="24"/>
                <w:vertAlign w:val="superscript"/>
              </w:rPr>
              <w:t>*</w:t>
            </w:r>
          </w:p>
        </w:tc>
      </w:tr>
      <w:tr w:rsidR="002A175E" w:rsidRPr="002F3B34" w14:paraId="66E8FA4E" w14:textId="77777777" w:rsidTr="002A175E">
        <w:tc>
          <w:tcPr>
            <w:tcW w:w="3077" w:type="pct"/>
          </w:tcPr>
          <w:p w14:paraId="5333DF5C" w14:textId="77777777" w:rsidR="002A175E" w:rsidRPr="002F3B34" w:rsidRDefault="002A175E" w:rsidP="002A175E">
            <w:pPr>
              <w:rPr>
                <w:rFonts w:ascii="Times New Roman" w:hAnsi="Times New Roman" w:cs="Times New Roman"/>
              </w:rPr>
            </w:pPr>
          </w:p>
        </w:tc>
        <w:tc>
          <w:tcPr>
            <w:tcW w:w="1923" w:type="pct"/>
            <w:gridSpan w:val="2"/>
          </w:tcPr>
          <w:p w14:paraId="080C9CD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w:t>
            </w:r>
            <w:r w:rsidRPr="00A04F75">
              <w:rPr>
                <w:rFonts w:ascii="Times New Roman" w:hAnsi="Times New Roman" w:cs="Times New Roman"/>
                <w:szCs w:val="24"/>
              </w:rPr>
              <w:t>0021)</w:t>
            </w:r>
          </w:p>
        </w:tc>
      </w:tr>
      <w:tr w:rsidR="002A175E" w:rsidRPr="002F3B34" w14:paraId="3842FFE8" w14:textId="77777777" w:rsidTr="002A175E">
        <w:tc>
          <w:tcPr>
            <w:tcW w:w="3077" w:type="pct"/>
          </w:tcPr>
          <w:p w14:paraId="12D77042" w14:textId="77777777" w:rsidR="002A175E" w:rsidRPr="002F3B34" w:rsidRDefault="002A175E" w:rsidP="002A175E">
            <w:pPr>
              <w:rPr>
                <w:rFonts w:ascii="Times New Roman" w:hAnsi="Times New Roman" w:cs="Times New Roman"/>
              </w:rPr>
            </w:pPr>
          </w:p>
        </w:tc>
        <w:tc>
          <w:tcPr>
            <w:tcW w:w="1923" w:type="pct"/>
            <w:gridSpan w:val="2"/>
          </w:tcPr>
          <w:p w14:paraId="6DFA595C" w14:textId="77777777" w:rsidR="002A175E" w:rsidRDefault="002A175E" w:rsidP="002A175E">
            <w:pPr>
              <w:widowControl w:val="0"/>
              <w:autoSpaceDE w:val="0"/>
              <w:autoSpaceDN w:val="0"/>
              <w:adjustRightInd w:val="0"/>
              <w:jc w:val="center"/>
              <w:rPr>
                <w:rFonts w:ascii="Times New Roman" w:hAnsi="Times New Roman" w:cs="Times New Roman"/>
                <w:szCs w:val="24"/>
              </w:rPr>
            </w:pPr>
          </w:p>
        </w:tc>
      </w:tr>
      <w:tr w:rsidR="002A175E" w:rsidRPr="002F3B34" w14:paraId="4357CB7B" w14:textId="77777777" w:rsidTr="002A175E">
        <w:tc>
          <w:tcPr>
            <w:tcW w:w="3077" w:type="pct"/>
          </w:tcPr>
          <w:p w14:paraId="7D6026E4" w14:textId="77777777" w:rsidR="002A175E" w:rsidRPr="002F3B34" w:rsidRDefault="002A175E" w:rsidP="002A175E">
            <w:pPr>
              <w:rPr>
                <w:rFonts w:ascii="Times New Roman" w:hAnsi="Times New Roman" w:cs="Times New Roman"/>
              </w:rPr>
            </w:pPr>
            <w:r w:rsidRPr="0002330C">
              <w:rPr>
                <w:rFonts w:ascii="Times New Roman" w:hAnsi="Times New Roman" w:cs="Times New Roman"/>
              </w:rPr>
              <w:t xml:space="preserve">Deficit as a percentage of GDP in </w:t>
            </w:r>
            <w:r>
              <w:rPr>
                <w:rFonts w:ascii="Times New Roman" w:hAnsi="Times New Roman" w:cs="Times New Roman"/>
              </w:rPr>
              <w:t>previous</w:t>
            </w:r>
            <w:r w:rsidRPr="0002330C">
              <w:rPr>
                <w:rFonts w:ascii="Times New Roman" w:hAnsi="Times New Roman" w:cs="Times New Roman"/>
              </w:rPr>
              <w:t xml:space="preserve"> year</w:t>
            </w:r>
          </w:p>
        </w:tc>
        <w:tc>
          <w:tcPr>
            <w:tcW w:w="1923" w:type="pct"/>
            <w:gridSpan w:val="2"/>
          </w:tcPr>
          <w:p w14:paraId="6CC10132"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-0.19</w:t>
            </w:r>
            <w:r w:rsidRPr="00A04F75">
              <w:rPr>
                <w:rFonts w:ascii="Times New Roman" w:hAnsi="Times New Roman" w:cs="Times New Roman"/>
                <w:szCs w:val="24"/>
                <w:vertAlign w:val="superscript"/>
              </w:rPr>
              <w:t>**</w:t>
            </w:r>
          </w:p>
        </w:tc>
      </w:tr>
      <w:tr w:rsidR="002A175E" w:rsidRPr="002F3B34" w14:paraId="33D3F357" w14:textId="77777777" w:rsidTr="002A175E">
        <w:tc>
          <w:tcPr>
            <w:tcW w:w="3077" w:type="pct"/>
          </w:tcPr>
          <w:p w14:paraId="1A261251" w14:textId="77777777" w:rsidR="002A175E" w:rsidRPr="002F3B34" w:rsidRDefault="002A175E" w:rsidP="002A175E">
            <w:pPr>
              <w:rPr>
                <w:rFonts w:ascii="Times New Roman" w:hAnsi="Times New Roman" w:cs="Times New Roman"/>
              </w:rPr>
            </w:pPr>
          </w:p>
        </w:tc>
        <w:tc>
          <w:tcPr>
            <w:tcW w:w="1923" w:type="pct"/>
            <w:gridSpan w:val="2"/>
          </w:tcPr>
          <w:p w14:paraId="41995EB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(0.059)</w:t>
            </w:r>
          </w:p>
        </w:tc>
      </w:tr>
      <w:tr w:rsidR="002A175E" w:rsidRPr="002F3B34" w14:paraId="5CB0F696" w14:textId="77777777" w:rsidTr="002A175E">
        <w:tc>
          <w:tcPr>
            <w:tcW w:w="3077" w:type="pct"/>
          </w:tcPr>
          <w:p w14:paraId="652B2E6A" w14:textId="77777777" w:rsidR="002A175E" w:rsidRPr="002F3B34" w:rsidRDefault="002A175E" w:rsidP="002A175E">
            <w:pPr>
              <w:rPr>
                <w:rFonts w:ascii="Times New Roman" w:hAnsi="Times New Roman" w:cs="Times New Roman"/>
              </w:rPr>
            </w:pPr>
          </w:p>
        </w:tc>
        <w:tc>
          <w:tcPr>
            <w:tcW w:w="1923" w:type="pct"/>
            <w:gridSpan w:val="2"/>
          </w:tcPr>
          <w:p w14:paraId="44A0823B" w14:textId="77777777" w:rsidR="002A175E" w:rsidRDefault="002A175E" w:rsidP="002A175E">
            <w:pPr>
              <w:widowControl w:val="0"/>
              <w:autoSpaceDE w:val="0"/>
              <w:autoSpaceDN w:val="0"/>
              <w:adjustRightInd w:val="0"/>
              <w:jc w:val="center"/>
              <w:rPr>
                <w:rFonts w:ascii="Times New Roman" w:hAnsi="Times New Roman" w:cs="Times New Roman"/>
                <w:szCs w:val="24"/>
              </w:rPr>
            </w:pPr>
          </w:p>
        </w:tc>
      </w:tr>
      <w:tr w:rsidR="002A175E" w:rsidRPr="002F3B34" w14:paraId="0225D297" w14:textId="77777777" w:rsidTr="002A175E">
        <w:tc>
          <w:tcPr>
            <w:tcW w:w="3077" w:type="pct"/>
          </w:tcPr>
          <w:p w14:paraId="0BF0BA94" w14:textId="77777777" w:rsidR="002A175E" w:rsidRPr="002F3B34" w:rsidRDefault="002A175E" w:rsidP="002A175E">
            <w:pPr>
              <w:rPr>
                <w:rFonts w:ascii="Times New Roman" w:hAnsi="Times New Roman" w:cs="Times New Roman"/>
              </w:rPr>
            </w:pPr>
            <w:r w:rsidRPr="0002330C">
              <w:rPr>
                <w:rFonts w:ascii="Times New Roman" w:hAnsi="Times New Roman" w:cs="Times New Roman"/>
              </w:rPr>
              <w:t>Foreign reserves as a percentage of GDP</w:t>
            </w:r>
          </w:p>
        </w:tc>
        <w:tc>
          <w:tcPr>
            <w:tcW w:w="1923" w:type="pct"/>
            <w:gridSpan w:val="2"/>
          </w:tcPr>
          <w:p w14:paraId="2D326A5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0.014</w:t>
            </w:r>
            <w:r w:rsidRPr="00A04F75">
              <w:rPr>
                <w:rFonts w:ascii="Times New Roman" w:hAnsi="Times New Roman" w:cs="Times New Roman"/>
                <w:szCs w:val="24"/>
                <w:vertAlign w:val="superscript"/>
              </w:rPr>
              <w:t>*</w:t>
            </w:r>
          </w:p>
        </w:tc>
      </w:tr>
      <w:tr w:rsidR="002A175E" w:rsidRPr="002F3B34" w14:paraId="14DE5068" w14:textId="77777777" w:rsidTr="002A175E">
        <w:tc>
          <w:tcPr>
            <w:tcW w:w="3077" w:type="pct"/>
          </w:tcPr>
          <w:p w14:paraId="000C9592" w14:textId="77777777" w:rsidR="002A175E" w:rsidRPr="002F3B34" w:rsidRDefault="002A175E" w:rsidP="002A175E">
            <w:pPr>
              <w:rPr>
                <w:rFonts w:ascii="Times New Roman" w:hAnsi="Times New Roman" w:cs="Times New Roman"/>
              </w:rPr>
            </w:pPr>
          </w:p>
        </w:tc>
        <w:tc>
          <w:tcPr>
            <w:tcW w:w="1923" w:type="pct"/>
            <w:gridSpan w:val="2"/>
          </w:tcPr>
          <w:p w14:paraId="7DD2A3A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-0.19</w:t>
            </w:r>
            <w:r w:rsidRPr="00A04F75">
              <w:rPr>
                <w:rFonts w:ascii="Times New Roman" w:hAnsi="Times New Roman" w:cs="Times New Roman"/>
                <w:szCs w:val="24"/>
                <w:vertAlign w:val="superscript"/>
              </w:rPr>
              <w:t>**</w:t>
            </w:r>
          </w:p>
        </w:tc>
      </w:tr>
      <w:tr w:rsidR="002A175E" w:rsidRPr="00A04F75" w14:paraId="4527B679" w14:textId="77777777" w:rsidTr="002A175E">
        <w:tc>
          <w:tcPr>
            <w:tcW w:w="3077" w:type="pct"/>
          </w:tcPr>
          <w:p w14:paraId="2FBF549D" w14:textId="77777777" w:rsidR="002A175E" w:rsidRPr="006D3D69" w:rsidRDefault="002A175E" w:rsidP="002A175E">
            <w:pPr>
              <w:rPr>
                <w:rFonts w:ascii="Times New Roman" w:hAnsi="Times New Roman" w:cs="Times New Roman"/>
              </w:rPr>
            </w:pPr>
          </w:p>
        </w:tc>
        <w:tc>
          <w:tcPr>
            <w:tcW w:w="1923" w:type="pct"/>
            <w:gridSpan w:val="2"/>
          </w:tcPr>
          <w:p w14:paraId="5A1DD2AA" w14:textId="77777777" w:rsidR="002A175E" w:rsidRDefault="002A175E" w:rsidP="002A175E">
            <w:pPr>
              <w:jc w:val="center"/>
              <w:rPr>
                <w:rFonts w:ascii="Times New Roman" w:hAnsi="Times New Roman" w:cs="Times New Roman"/>
              </w:rPr>
            </w:pPr>
          </w:p>
        </w:tc>
      </w:tr>
      <w:tr w:rsidR="002A175E" w:rsidRPr="00A04F75" w14:paraId="7B25DAE7" w14:textId="77777777" w:rsidTr="002A175E">
        <w:tc>
          <w:tcPr>
            <w:tcW w:w="3077" w:type="pct"/>
          </w:tcPr>
          <w:p w14:paraId="1F901D52" w14:textId="77777777" w:rsidR="002A175E" w:rsidRPr="006D3D69" w:rsidRDefault="002A175E" w:rsidP="002A175E">
            <w:pPr>
              <w:rPr>
                <w:rFonts w:ascii="Times New Roman" w:hAnsi="Times New Roman" w:cs="Times New Roman"/>
              </w:rPr>
            </w:pPr>
            <w:r w:rsidRPr="0002330C">
              <w:rPr>
                <w:rFonts w:ascii="Times New Roman" w:hAnsi="Times New Roman" w:cs="Times New Roman"/>
              </w:rPr>
              <w:t>Level of GDP per capita</w:t>
            </w:r>
            <w:r w:rsidRPr="006D3D69">
              <w:rPr>
                <w:rFonts w:ascii="Times New Roman" w:hAnsi="Times New Roman" w:cs="Times New Roman"/>
                <w:vertAlign w:val="superscript"/>
              </w:rPr>
              <w:t>†</w:t>
            </w:r>
          </w:p>
        </w:tc>
        <w:tc>
          <w:tcPr>
            <w:tcW w:w="1923" w:type="pct"/>
            <w:gridSpan w:val="2"/>
          </w:tcPr>
          <w:p w14:paraId="76C192B3" w14:textId="77777777" w:rsidR="002A175E" w:rsidRDefault="002A175E" w:rsidP="002A175E">
            <w:pPr>
              <w:jc w:val="center"/>
              <w:rPr>
                <w:rFonts w:ascii="Times New Roman" w:hAnsi="Times New Roman" w:cs="Times New Roman"/>
              </w:rPr>
            </w:pPr>
            <w:r w:rsidRPr="00A04F75">
              <w:rPr>
                <w:rFonts w:ascii="Times New Roman" w:hAnsi="Times New Roman" w:cs="Times New Roman"/>
                <w:szCs w:val="24"/>
              </w:rPr>
              <w:t>-0.00022</w:t>
            </w:r>
            <w:r w:rsidRPr="00A04F75">
              <w:rPr>
                <w:rFonts w:ascii="Times New Roman" w:hAnsi="Times New Roman" w:cs="Times New Roman"/>
                <w:szCs w:val="24"/>
                <w:vertAlign w:val="superscript"/>
              </w:rPr>
              <w:t>**</w:t>
            </w:r>
          </w:p>
        </w:tc>
      </w:tr>
      <w:tr w:rsidR="002A175E" w:rsidRPr="00A04F75" w14:paraId="0826CF6B" w14:textId="77777777" w:rsidTr="002A175E">
        <w:tc>
          <w:tcPr>
            <w:tcW w:w="3077" w:type="pct"/>
          </w:tcPr>
          <w:p w14:paraId="764BD61D" w14:textId="77777777" w:rsidR="002A175E" w:rsidRPr="006D3D69" w:rsidRDefault="002A175E" w:rsidP="002A175E">
            <w:pPr>
              <w:rPr>
                <w:rFonts w:ascii="Times New Roman" w:hAnsi="Times New Roman" w:cs="Times New Roman"/>
              </w:rPr>
            </w:pPr>
          </w:p>
        </w:tc>
        <w:tc>
          <w:tcPr>
            <w:tcW w:w="1923" w:type="pct"/>
            <w:gridSpan w:val="2"/>
          </w:tcPr>
          <w:p w14:paraId="5661FCA9" w14:textId="77777777" w:rsidR="002A175E" w:rsidRDefault="002A175E" w:rsidP="002A175E">
            <w:pPr>
              <w:jc w:val="center"/>
              <w:rPr>
                <w:rFonts w:ascii="Times New Roman" w:hAnsi="Times New Roman" w:cs="Times New Roman"/>
              </w:rPr>
            </w:pPr>
            <w:r w:rsidRPr="00A04F75">
              <w:rPr>
                <w:rFonts w:ascii="Times New Roman" w:hAnsi="Times New Roman" w:cs="Times New Roman"/>
                <w:szCs w:val="24"/>
              </w:rPr>
              <w:t>(0.000054)</w:t>
            </w:r>
          </w:p>
        </w:tc>
      </w:tr>
      <w:tr w:rsidR="002A175E" w:rsidRPr="002F3B34" w14:paraId="0C5675CB" w14:textId="77777777" w:rsidTr="002A175E">
        <w:tc>
          <w:tcPr>
            <w:tcW w:w="3077" w:type="pct"/>
          </w:tcPr>
          <w:p w14:paraId="53EFDE30" w14:textId="77777777" w:rsidR="002A175E" w:rsidRPr="002F3B34" w:rsidRDefault="002A175E" w:rsidP="002A175E">
            <w:pPr>
              <w:rPr>
                <w:rFonts w:ascii="Times New Roman" w:hAnsi="Times New Roman" w:cs="Times New Roman"/>
              </w:rPr>
            </w:pPr>
          </w:p>
        </w:tc>
        <w:tc>
          <w:tcPr>
            <w:tcW w:w="1923" w:type="pct"/>
            <w:gridSpan w:val="2"/>
          </w:tcPr>
          <w:p w14:paraId="342BB89F" w14:textId="77777777" w:rsidR="002A175E" w:rsidRPr="002F3B34" w:rsidRDefault="002A175E" w:rsidP="002A175E">
            <w:pPr>
              <w:rPr>
                <w:rFonts w:ascii="Times New Roman" w:hAnsi="Times New Roman" w:cs="Times New Roman"/>
              </w:rPr>
            </w:pPr>
          </w:p>
        </w:tc>
      </w:tr>
      <w:tr w:rsidR="002A175E" w:rsidRPr="002F3B34" w14:paraId="4A460CF9" w14:textId="77777777" w:rsidTr="002A175E">
        <w:tc>
          <w:tcPr>
            <w:tcW w:w="3077" w:type="pct"/>
            <w:tcBorders>
              <w:top w:val="single" w:sz="4" w:space="0" w:color="auto"/>
            </w:tcBorders>
          </w:tcPr>
          <w:p w14:paraId="6BF1B1E7" w14:textId="77777777" w:rsidR="002A175E" w:rsidRPr="002F3B34" w:rsidRDefault="002A175E" w:rsidP="002A175E">
            <w:pPr>
              <w:rPr>
                <w:rFonts w:ascii="Times New Roman" w:hAnsi="Times New Roman" w:cs="Times New Roman"/>
              </w:rPr>
            </w:pPr>
            <w:r w:rsidRPr="002F3B34">
              <w:rPr>
                <w:rFonts w:ascii="Times New Roman" w:hAnsi="Times New Roman" w:cs="Times New Roman"/>
              </w:rPr>
              <w:t>Country-years</w:t>
            </w:r>
          </w:p>
        </w:tc>
        <w:tc>
          <w:tcPr>
            <w:tcW w:w="1923" w:type="pct"/>
            <w:gridSpan w:val="2"/>
            <w:tcBorders>
              <w:top w:val="single" w:sz="4" w:space="0" w:color="auto"/>
            </w:tcBorders>
          </w:tcPr>
          <w:p w14:paraId="3242DDD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338</w:t>
            </w:r>
          </w:p>
        </w:tc>
      </w:tr>
      <w:tr w:rsidR="002A175E" w:rsidRPr="002F3B34" w14:paraId="6253742C" w14:textId="77777777" w:rsidTr="002A175E">
        <w:tc>
          <w:tcPr>
            <w:tcW w:w="3077" w:type="pct"/>
            <w:tcBorders>
              <w:bottom w:val="single" w:sz="4" w:space="0" w:color="auto"/>
            </w:tcBorders>
          </w:tcPr>
          <w:p w14:paraId="7C6C944E" w14:textId="77777777" w:rsidR="002A175E" w:rsidRPr="002F3B34" w:rsidRDefault="002A175E" w:rsidP="002A175E">
            <w:pPr>
              <w:rPr>
                <w:rFonts w:ascii="Times New Roman" w:hAnsi="Times New Roman" w:cs="Times New Roman"/>
              </w:rPr>
            </w:pPr>
            <w:r w:rsidRPr="002F3B34">
              <w:rPr>
                <w:rFonts w:ascii="Times New Roman" w:hAnsi="Times New Roman" w:cs="Times New Roman"/>
              </w:rPr>
              <w:t>Countries</w:t>
            </w:r>
          </w:p>
        </w:tc>
        <w:tc>
          <w:tcPr>
            <w:tcW w:w="1923" w:type="pct"/>
            <w:gridSpan w:val="2"/>
            <w:tcBorders>
              <w:bottom w:val="single" w:sz="4" w:space="0" w:color="auto"/>
            </w:tcBorders>
          </w:tcPr>
          <w:p w14:paraId="6C826B1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r>
    </w:tbl>
    <w:p w14:paraId="369CB0F3" w14:textId="77777777" w:rsidR="00BE348E" w:rsidRPr="002F3B34" w:rsidRDefault="00BE348E" w:rsidP="00BE348E">
      <w:pPr>
        <w:rPr>
          <w:rFonts w:ascii="Times New Roman" w:hAnsi="Times New Roman" w:cs="Times New Roman"/>
          <w:sz w:val="20"/>
          <w:szCs w:val="20"/>
        </w:rPr>
      </w:pPr>
      <w:r w:rsidRPr="00A84EB0">
        <w:rPr>
          <w:rFonts w:ascii="Times New Roman" w:hAnsi="Times New Roman" w:cs="Times New Roman"/>
          <w:i/>
          <w:sz w:val="20"/>
          <w:szCs w:val="20"/>
        </w:rPr>
        <w:t>Notes:</w:t>
      </w:r>
      <w:r w:rsidRPr="002F3B34">
        <w:rPr>
          <w:rFonts w:ascii="Times New Roman" w:hAnsi="Times New Roman" w:cs="Times New Roman"/>
          <w:sz w:val="20"/>
          <w:szCs w:val="20"/>
        </w:rPr>
        <w:t>Source: EuroStat 2013 edition, IMF MONA 2013 edition, World Bank Political Institutions Database 2013 edition.</w:t>
      </w:r>
      <w:r w:rsidR="003C5DB8" w:rsidRPr="00A04F75">
        <w:rPr>
          <w:rFonts w:ascii="Times New Roman" w:hAnsi="Times New Roman" w:cs="Times New Roman"/>
          <w:sz w:val="20"/>
          <w:szCs w:val="20"/>
        </w:rPr>
        <w:t xml:space="preserve"> </w:t>
      </w:r>
    </w:p>
    <w:p w14:paraId="343D2282" w14:textId="77777777" w:rsidR="006F0649" w:rsidRDefault="006D3D69">
      <w:pPr>
        <w:rPr>
          <w:rFonts w:ascii="Times New Roman" w:hAnsi="Times New Roman" w:cs="Times New Roman"/>
          <w:bCs/>
          <w:sz w:val="20"/>
          <w:szCs w:val="20"/>
        </w:rPr>
      </w:pPr>
      <w:r w:rsidRPr="006D3D69">
        <w:rPr>
          <w:rFonts w:ascii="Times New Roman" w:hAnsi="Times New Roman" w:cs="Times New Roman"/>
          <w:bCs/>
          <w:sz w:val="20"/>
          <w:szCs w:val="20"/>
          <w:vertAlign w:val="superscript"/>
        </w:rPr>
        <w:t xml:space="preserve">† </w:t>
      </w:r>
      <w:r w:rsidRPr="006D3D69">
        <w:rPr>
          <w:rFonts w:ascii="Times New Roman" w:hAnsi="Times New Roman" w:cs="Times New Roman"/>
          <w:bCs/>
          <w:sz w:val="20"/>
          <w:szCs w:val="20"/>
        </w:rPr>
        <w:t>- units in real per capita, in constant purchasing-power-parity USD</w:t>
      </w:r>
    </w:p>
    <w:p w14:paraId="2861B2F7" w14:textId="77777777" w:rsidR="00BE348E" w:rsidRPr="002F3B34" w:rsidRDefault="00BE348E" w:rsidP="00A84EB0">
      <w:pPr>
        <w:rPr>
          <w:rFonts w:ascii="Times New Roman" w:hAnsi="Times New Roman" w:cs="Times New Roman"/>
          <w:sz w:val="20"/>
          <w:szCs w:val="20"/>
        </w:rPr>
      </w:pPr>
      <w:r w:rsidRPr="002F3B34">
        <w:rPr>
          <w:rFonts w:ascii="Times New Roman" w:hAnsi="Times New Roman" w:cs="Times New Roman"/>
          <w:sz w:val="20"/>
          <w:szCs w:val="20"/>
        </w:rPr>
        <w:t xml:space="preserve">˚ Baseline category is Centre. </w:t>
      </w:r>
      <w:r w:rsidR="00C10BE4" w:rsidRPr="00C10BE4">
        <w:rPr>
          <w:rFonts w:ascii="Times New Roman" w:hAnsi="Times New Roman" w:cs="Times New Roman"/>
          <w:sz w:val="20"/>
          <w:szCs w:val="20"/>
        </w:rPr>
        <w:t xml:space="preserve">Taken from the World Bank Political Institutions database, </w:t>
      </w:r>
      <w:r w:rsidRPr="002F3B34">
        <w:rPr>
          <w:rFonts w:ascii="Times New Roman" w:hAnsi="Times New Roman" w:cs="Times New Roman"/>
          <w:sz w:val="20"/>
          <w:szCs w:val="20"/>
        </w:rPr>
        <w:t xml:space="preserve">Left </w:t>
      </w:r>
      <w:r w:rsidR="00C10BE4" w:rsidRPr="00C10BE4">
        <w:rPr>
          <w:rFonts w:ascii="Times New Roman" w:hAnsi="Times New Roman" w:cs="Times New Roman"/>
          <w:sz w:val="20"/>
          <w:szCs w:val="20"/>
        </w:rPr>
        <w:t xml:space="preserve">governing party </w:t>
      </w:r>
      <w:r w:rsidRPr="002F3B34">
        <w:rPr>
          <w:rFonts w:ascii="Times New Roman" w:hAnsi="Times New Roman" w:cs="Times New Roman"/>
          <w:sz w:val="20"/>
          <w:szCs w:val="20"/>
        </w:rPr>
        <w:t>and Right</w:t>
      </w:r>
      <w:r w:rsidR="00C10BE4" w:rsidRPr="00C10BE4">
        <w:rPr>
          <w:rFonts w:ascii="Times New Roman" w:hAnsi="Times New Roman" w:cs="Times New Roman"/>
          <w:sz w:val="20"/>
          <w:szCs w:val="20"/>
        </w:rPr>
        <w:t xml:space="preserve"> governing party</w:t>
      </w:r>
      <w:r w:rsidRPr="002F3B34">
        <w:rPr>
          <w:rFonts w:ascii="Times New Roman" w:hAnsi="Times New Roman" w:cs="Times New Roman"/>
          <w:sz w:val="20"/>
          <w:szCs w:val="20"/>
        </w:rPr>
        <w:t xml:space="preserve"> are measures of the economic ideology of the governing party (or the party whose leader is head of a coalition) derived from party manifestos.</w:t>
      </w:r>
    </w:p>
    <w:p w14:paraId="471B6A1F" w14:textId="77777777" w:rsidR="00BE348E" w:rsidRPr="00A84EB0" w:rsidRDefault="00A009B8" w:rsidP="00BE348E">
      <w:pPr>
        <w:rPr>
          <w:rFonts w:ascii="Times New Roman" w:hAnsi="Times New Roman"/>
        </w:rPr>
      </w:pPr>
      <w:r w:rsidRPr="002F3B34">
        <w:rPr>
          <w:rFonts w:ascii="Times New Roman" w:hAnsi="Times New Roman" w:cs="Times New Roman"/>
          <w:sz w:val="20"/>
          <w:szCs w:val="20"/>
        </w:rPr>
        <w:t>IMF bailouts include Stand-by Arrangements, usually short-term lending</w:t>
      </w:r>
      <w:r w:rsidR="006D3D69" w:rsidRPr="006D3D69">
        <w:rPr>
          <w:rFonts w:ascii="Times New Roman" w:hAnsi="Times New Roman" w:cs="Times New Roman"/>
          <w:sz w:val="20"/>
          <w:szCs w:val="20"/>
        </w:rPr>
        <w:t xml:space="preserve"> to states to cover the effect of unanticipated shocks</w:t>
      </w:r>
      <w:r w:rsidRPr="002F3B34">
        <w:rPr>
          <w:rFonts w:ascii="Times New Roman" w:hAnsi="Times New Roman" w:cs="Times New Roman"/>
          <w:sz w:val="20"/>
          <w:szCs w:val="20"/>
        </w:rPr>
        <w:t xml:space="preserve">, and Extended Fund Facilities, which are usually medium- or long-term lending programmes aimed at overcoming </w:t>
      </w:r>
      <w:r w:rsidR="006D3D69" w:rsidRPr="006D3D69">
        <w:rPr>
          <w:rFonts w:ascii="Times New Roman" w:hAnsi="Times New Roman" w:cs="Times New Roman"/>
          <w:sz w:val="20"/>
          <w:szCs w:val="20"/>
        </w:rPr>
        <w:t>weaknesses in the national economy which may have precipitated or exacerbated the shock</w:t>
      </w:r>
      <w:r w:rsidR="006D3D69">
        <w:rPr>
          <w:rFonts w:ascii="Times New Roman" w:hAnsi="Times New Roman" w:cs="Times New Roman"/>
          <w:sz w:val="20"/>
          <w:szCs w:val="20"/>
        </w:rPr>
        <w:t>.</w:t>
      </w:r>
      <w:r w:rsidRPr="002F3B34">
        <w:rPr>
          <w:rFonts w:ascii="Times New Roman" w:hAnsi="Times New Roman" w:cs="Times New Roman"/>
          <w:sz w:val="20"/>
          <w:szCs w:val="20"/>
        </w:rPr>
        <w:t xml:space="preserve"> </w:t>
      </w:r>
    </w:p>
    <w:p w14:paraId="01C3108A" w14:textId="77777777" w:rsidR="00BE348E" w:rsidRPr="002F3B34" w:rsidRDefault="005B555D">
      <w:pPr>
        <w:rPr>
          <w:rFonts w:ascii="Times New Roman" w:hAnsi="Times New Roman" w:cs="Times New Roman"/>
          <w:szCs w:val="24"/>
        </w:rPr>
      </w:pPr>
      <w:r w:rsidRPr="002F3B34">
        <w:rPr>
          <w:rFonts w:ascii="Times New Roman" w:hAnsi="Times New Roman" w:cs="Times New Roman"/>
          <w:szCs w:val="24"/>
        </w:rPr>
        <w:br w:type="page"/>
      </w:r>
    </w:p>
    <w:p w14:paraId="335E397A" w14:textId="77777777" w:rsidR="004F0B92" w:rsidRDefault="005B555D" w:rsidP="004F0B92">
      <w:pPr>
        <w:rPr>
          <w:rFonts w:ascii="Times New Roman" w:hAnsi="Times New Roman" w:cs="Times New Roman"/>
          <w:szCs w:val="24"/>
        </w:rPr>
      </w:pPr>
      <w:r w:rsidRPr="002F3B34">
        <w:rPr>
          <w:rFonts w:ascii="Times New Roman" w:hAnsi="Times New Roman" w:cs="Times New Roman"/>
          <w:szCs w:val="24"/>
        </w:rPr>
        <w:t xml:space="preserve">Web Appendix </w:t>
      </w:r>
      <w:r w:rsidR="007D1F11" w:rsidRPr="00A04F75">
        <w:rPr>
          <w:rFonts w:ascii="Times New Roman" w:hAnsi="Times New Roman" w:cs="Times New Roman"/>
          <w:szCs w:val="24"/>
        </w:rPr>
        <w:t>7</w:t>
      </w:r>
      <w:r w:rsidRPr="002F3B34">
        <w:rPr>
          <w:rFonts w:ascii="Times New Roman" w:hAnsi="Times New Roman" w:cs="Times New Roman"/>
          <w:szCs w:val="24"/>
        </w:rPr>
        <w:t>: Regression of healthcare austerity controlling for economic and political determinants, 26 EU countries (excluding Greece), 1995-2011</w:t>
      </w:r>
    </w:p>
    <w:tbl>
      <w:tblPr>
        <w:tblW w:w="9322" w:type="dxa"/>
        <w:tblLayout w:type="fixed"/>
        <w:tblLook w:val="0000" w:firstRow="0" w:lastRow="0" w:firstColumn="0" w:lastColumn="0" w:noHBand="0" w:noVBand="0"/>
      </w:tblPr>
      <w:tblGrid>
        <w:gridCol w:w="2915"/>
        <w:gridCol w:w="1125"/>
        <w:gridCol w:w="1125"/>
        <w:gridCol w:w="1125"/>
        <w:gridCol w:w="985"/>
        <w:gridCol w:w="984"/>
        <w:gridCol w:w="984"/>
        <w:gridCol w:w="79"/>
      </w:tblGrid>
      <w:tr w:rsidR="002A175E" w:rsidRPr="002F3B34" w14:paraId="7F19713B" w14:textId="77777777" w:rsidTr="002A175E">
        <w:tc>
          <w:tcPr>
            <w:tcW w:w="2915" w:type="dxa"/>
            <w:tcBorders>
              <w:top w:val="single" w:sz="4" w:space="0" w:color="auto"/>
              <w:left w:val="nil"/>
              <w:right w:val="nil"/>
            </w:tcBorders>
          </w:tcPr>
          <w:p w14:paraId="40CFD1C4"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6407" w:type="dxa"/>
            <w:gridSpan w:val="7"/>
            <w:tcBorders>
              <w:top w:val="single" w:sz="4" w:space="0" w:color="auto"/>
              <w:left w:val="nil"/>
              <w:right w:val="nil"/>
            </w:tcBorders>
          </w:tcPr>
          <w:p w14:paraId="7FAF31E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Annual change in health spending</w:t>
            </w:r>
            <w:r w:rsidRPr="00A50D41">
              <w:rPr>
                <w:rFonts w:ascii="Times New Roman" w:hAnsi="Times New Roman" w:cs="Times New Roman"/>
                <w:szCs w:val="24"/>
                <w:vertAlign w:val="superscript"/>
              </w:rPr>
              <w:t>†</w:t>
            </w:r>
          </w:p>
        </w:tc>
      </w:tr>
      <w:tr w:rsidR="002A175E" w:rsidRPr="002F3B34" w14:paraId="3FB34331" w14:textId="77777777" w:rsidTr="002A175E">
        <w:tc>
          <w:tcPr>
            <w:tcW w:w="2915" w:type="dxa"/>
            <w:tcBorders>
              <w:left w:val="nil"/>
              <w:bottom w:val="nil"/>
              <w:right w:val="nil"/>
            </w:tcBorders>
          </w:tcPr>
          <w:p w14:paraId="0E19E53D"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Covariates</w:t>
            </w:r>
          </w:p>
        </w:tc>
        <w:tc>
          <w:tcPr>
            <w:tcW w:w="1125" w:type="dxa"/>
            <w:tcBorders>
              <w:left w:val="nil"/>
              <w:bottom w:val="nil"/>
              <w:right w:val="nil"/>
            </w:tcBorders>
          </w:tcPr>
          <w:p w14:paraId="127C11E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w:t>
            </w:r>
          </w:p>
        </w:tc>
        <w:tc>
          <w:tcPr>
            <w:tcW w:w="1125" w:type="dxa"/>
            <w:tcBorders>
              <w:left w:val="nil"/>
              <w:bottom w:val="nil"/>
              <w:right w:val="nil"/>
            </w:tcBorders>
          </w:tcPr>
          <w:p w14:paraId="3CC896DA"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w:t>
            </w:r>
          </w:p>
        </w:tc>
        <w:tc>
          <w:tcPr>
            <w:tcW w:w="1125" w:type="dxa"/>
            <w:tcBorders>
              <w:left w:val="nil"/>
              <w:bottom w:val="nil"/>
              <w:right w:val="nil"/>
            </w:tcBorders>
          </w:tcPr>
          <w:p w14:paraId="764FF64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w:t>
            </w:r>
          </w:p>
        </w:tc>
        <w:tc>
          <w:tcPr>
            <w:tcW w:w="985" w:type="dxa"/>
            <w:tcBorders>
              <w:left w:val="nil"/>
              <w:bottom w:val="nil"/>
              <w:right w:val="nil"/>
            </w:tcBorders>
          </w:tcPr>
          <w:p w14:paraId="74A897E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(4)</w:t>
            </w:r>
          </w:p>
        </w:tc>
        <w:tc>
          <w:tcPr>
            <w:tcW w:w="984" w:type="dxa"/>
            <w:tcBorders>
              <w:left w:val="nil"/>
              <w:bottom w:val="nil"/>
              <w:right w:val="nil"/>
            </w:tcBorders>
          </w:tcPr>
          <w:p w14:paraId="02D9428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(5)</w:t>
            </w:r>
          </w:p>
        </w:tc>
        <w:tc>
          <w:tcPr>
            <w:tcW w:w="1063" w:type="dxa"/>
            <w:gridSpan w:val="2"/>
            <w:tcBorders>
              <w:left w:val="nil"/>
              <w:bottom w:val="nil"/>
              <w:right w:val="nil"/>
            </w:tcBorders>
          </w:tcPr>
          <w:p w14:paraId="63DA106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(6)</w:t>
            </w:r>
          </w:p>
        </w:tc>
      </w:tr>
      <w:tr w:rsidR="002A175E" w:rsidRPr="002F3B34" w14:paraId="589F01CC" w14:textId="77777777" w:rsidTr="002A175E">
        <w:tc>
          <w:tcPr>
            <w:tcW w:w="2915" w:type="dxa"/>
            <w:vMerge w:val="restart"/>
            <w:tcBorders>
              <w:top w:val="single" w:sz="4" w:space="0" w:color="auto"/>
              <w:left w:val="nil"/>
              <w:right w:val="nil"/>
            </w:tcBorders>
          </w:tcPr>
          <w:p w14:paraId="5B257322"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D41F59">
              <w:rPr>
                <w:rFonts w:ascii="Times New Roman" w:hAnsi="Times New Roman" w:cs="Times New Roman"/>
                <w:szCs w:val="24"/>
              </w:rPr>
              <w:t>$10 annual increase in GDP</w:t>
            </w:r>
            <w:r w:rsidRPr="00D41F59">
              <w:rPr>
                <w:rFonts w:ascii="Times New Roman" w:hAnsi="Times New Roman" w:cs="Times New Roman"/>
                <w:szCs w:val="24"/>
                <w:vertAlign w:val="superscript"/>
              </w:rPr>
              <w:t>†</w:t>
            </w:r>
            <w:r w:rsidRPr="00D41F59">
              <w:rPr>
                <w:rFonts w:ascii="Times New Roman" w:hAnsi="Times New Roman" w:cs="Times New Roman"/>
                <w:szCs w:val="24"/>
              </w:rPr>
              <w:t xml:space="preserve"> </w:t>
            </w:r>
          </w:p>
        </w:tc>
        <w:tc>
          <w:tcPr>
            <w:tcW w:w="1125" w:type="dxa"/>
            <w:tcBorders>
              <w:top w:val="single" w:sz="4" w:space="0" w:color="auto"/>
              <w:left w:val="nil"/>
              <w:bottom w:val="nil"/>
              <w:right w:val="nil"/>
            </w:tcBorders>
          </w:tcPr>
          <w:p w14:paraId="46BED25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0.24</w:t>
            </w:r>
            <w:r w:rsidRPr="00A04F75">
              <w:rPr>
                <w:rFonts w:ascii="Times New Roman" w:hAnsi="Times New Roman" w:cs="Times New Roman"/>
                <w:szCs w:val="24"/>
                <w:vertAlign w:val="superscript"/>
              </w:rPr>
              <w:t>*</w:t>
            </w:r>
          </w:p>
        </w:tc>
        <w:tc>
          <w:tcPr>
            <w:tcW w:w="1125" w:type="dxa"/>
            <w:tcBorders>
              <w:top w:val="single" w:sz="4" w:space="0" w:color="auto"/>
              <w:left w:val="nil"/>
              <w:bottom w:val="nil"/>
              <w:right w:val="nil"/>
            </w:tcBorders>
          </w:tcPr>
          <w:p w14:paraId="2199330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0.19</w:t>
            </w:r>
            <w:r w:rsidRPr="00A04F75">
              <w:rPr>
                <w:rFonts w:ascii="Times New Roman" w:hAnsi="Times New Roman" w:cs="Times New Roman"/>
                <w:szCs w:val="24"/>
                <w:vertAlign w:val="superscript"/>
              </w:rPr>
              <w:t>*</w:t>
            </w:r>
          </w:p>
        </w:tc>
        <w:tc>
          <w:tcPr>
            <w:tcW w:w="1125" w:type="dxa"/>
            <w:tcBorders>
              <w:top w:val="single" w:sz="4" w:space="0" w:color="auto"/>
              <w:left w:val="nil"/>
              <w:bottom w:val="nil"/>
              <w:right w:val="nil"/>
            </w:tcBorders>
          </w:tcPr>
          <w:p w14:paraId="0D471C9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0.18</w:t>
            </w:r>
            <w:r w:rsidRPr="00A04F75">
              <w:rPr>
                <w:rFonts w:ascii="Times New Roman" w:hAnsi="Times New Roman" w:cs="Times New Roman"/>
                <w:szCs w:val="24"/>
                <w:vertAlign w:val="superscript"/>
              </w:rPr>
              <w:t>*</w:t>
            </w:r>
          </w:p>
        </w:tc>
        <w:tc>
          <w:tcPr>
            <w:tcW w:w="985" w:type="dxa"/>
            <w:tcBorders>
              <w:top w:val="single" w:sz="4" w:space="0" w:color="auto"/>
              <w:left w:val="nil"/>
              <w:bottom w:val="nil"/>
              <w:right w:val="nil"/>
            </w:tcBorders>
          </w:tcPr>
          <w:p w14:paraId="7C2165A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0.098</w:t>
            </w:r>
          </w:p>
        </w:tc>
        <w:tc>
          <w:tcPr>
            <w:tcW w:w="984" w:type="dxa"/>
            <w:tcBorders>
              <w:top w:val="single" w:sz="4" w:space="0" w:color="auto"/>
              <w:left w:val="nil"/>
              <w:bottom w:val="nil"/>
              <w:right w:val="nil"/>
            </w:tcBorders>
          </w:tcPr>
          <w:p w14:paraId="2846E2B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0.092</w:t>
            </w:r>
          </w:p>
        </w:tc>
        <w:tc>
          <w:tcPr>
            <w:tcW w:w="1063" w:type="dxa"/>
            <w:gridSpan w:val="2"/>
            <w:tcBorders>
              <w:top w:val="single" w:sz="4" w:space="0" w:color="auto"/>
              <w:left w:val="nil"/>
              <w:bottom w:val="nil"/>
              <w:right w:val="nil"/>
            </w:tcBorders>
          </w:tcPr>
          <w:p w14:paraId="42733402"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0.059</w:t>
            </w:r>
          </w:p>
        </w:tc>
      </w:tr>
      <w:tr w:rsidR="002A175E" w:rsidRPr="002F3B34" w14:paraId="73EEBB44" w14:textId="77777777" w:rsidTr="002A175E">
        <w:tc>
          <w:tcPr>
            <w:tcW w:w="2915" w:type="dxa"/>
            <w:vMerge/>
            <w:tcBorders>
              <w:left w:val="nil"/>
              <w:right w:val="nil"/>
            </w:tcBorders>
          </w:tcPr>
          <w:p w14:paraId="6714DD7A"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2681808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(0.093)</w:t>
            </w:r>
          </w:p>
        </w:tc>
        <w:tc>
          <w:tcPr>
            <w:tcW w:w="1125" w:type="dxa"/>
            <w:tcBorders>
              <w:top w:val="nil"/>
              <w:left w:val="nil"/>
              <w:bottom w:val="nil"/>
              <w:right w:val="nil"/>
            </w:tcBorders>
          </w:tcPr>
          <w:p w14:paraId="512C10B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(0.086)</w:t>
            </w:r>
          </w:p>
        </w:tc>
        <w:tc>
          <w:tcPr>
            <w:tcW w:w="1125" w:type="dxa"/>
            <w:tcBorders>
              <w:top w:val="nil"/>
              <w:left w:val="nil"/>
              <w:bottom w:val="nil"/>
              <w:right w:val="nil"/>
            </w:tcBorders>
          </w:tcPr>
          <w:p w14:paraId="2289D7E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(0.085)</w:t>
            </w:r>
          </w:p>
        </w:tc>
        <w:tc>
          <w:tcPr>
            <w:tcW w:w="985" w:type="dxa"/>
            <w:tcBorders>
              <w:top w:val="nil"/>
              <w:left w:val="nil"/>
              <w:bottom w:val="nil"/>
              <w:right w:val="nil"/>
            </w:tcBorders>
          </w:tcPr>
          <w:p w14:paraId="1D2CA53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(0.070)</w:t>
            </w:r>
          </w:p>
        </w:tc>
        <w:tc>
          <w:tcPr>
            <w:tcW w:w="984" w:type="dxa"/>
            <w:tcBorders>
              <w:top w:val="nil"/>
              <w:left w:val="nil"/>
              <w:bottom w:val="nil"/>
              <w:right w:val="nil"/>
            </w:tcBorders>
          </w:tcPr>
          <w:p w14:paraId="54CA0E5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(0.071)</w:t>
            </w:r>
          </w:p>
        </w:tc>
        <w:tc>
          <w:tcPr>
            <w:tcW w:w="1063" w:type="dxa"/>
            <w:gridSpan w:val="2"/>
            <w:tcBorders>
              <w:top w:val="nil"/>
              <w:left w:val="nil"/>
              <w:bottom w:val="nil"/>
              <w:right w:val="nil"/>
            </w:tcBorders>
          </w:tcPr>
          <w:p w14:paraId="6694C24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(0.075)</w:t>
            </w:r>
          </w:p>
        </w:tc>
      </w:tr>
      <w:tr w:rsidR="002A175E" w:rsidRPr="002F3B34" w14:paraId="4EF92BF7" w14:textId="77777777" w:rsidTr="002A175E">
        <w:tc>
          <w:tcPr>
            <w:tcW w:w="2915" w:type="dxa"/>
            <w:vMerge/>
            <w:tcBorders>
              <w:left w:val="nil"/>
              <w:bottom w:val="nil"/>
              <w:right w:val="nil"/>
            </w:tcBorders>
          </w:tcPr>
          <w:p w14:paraId="289321DB"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2F8695AB"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5928830F"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0238AA4C"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52E9E2E6"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71B281B9"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682783D3"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r>
      <w:tr w:rsidR="002A175E" w:rsidRPr="002F3B34" w14:paraId="0C72EDD8" w14:textId="77777777" w:rsidTr="002A175E">
        <w:tc>
          <w:tcPr>
            <w:tcW w:w="2915" w:type="dxa"/>
            <w:vMerge w:val="restart"/>
            <w:tcBorders>
              <w:top w:val="nil"/>
              <w:left w:val="nil"/>
              <w:right w:val="nil"/>
            </w:tcBorders>
          </w:tcPr>
          <w:p w14:paraId="4818754D"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D41F59">
              <w:rPr>
                <w:rFonts w:ascii="Times New Roman" w:hAnsi="Times New Roman" w:cs="Times New Roman"/>
                <w:szCs w:val="24"/>
              </w:rPr>
              <w:t>$100 annual increase in tax revenue</w:t>
            </w:r>
            <w:r w:rsidRPr="00D41F59">
              <w:rPr>
                <w:rFonts w:ascii="Times New Roman" w:hAnsi="Times New Roman" w:cs="Times New Roman"/>
                <w:szCs w:val="24"/>
                <w:vertAlign w:val="superscript"/>
              </w:rPr>
              <w:t>†</w:t>
            </w:r>
          </w:p>
        </w:tc>
        <w:tc>
          <w:tcPr>
            <w:tcW w:w="1125" w:type="dxa"/>
            <w:tcBorders>
              <w:top w:val="nil"/>
              <w:left w:val="nil"/>
              <w:bottom w:val="nil"/>
              <w:right w:val="nil"/>
            </w:tcBorders>
          </w:tcPr>
          <w:p w14:paraId="6D58EB4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0746061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3.96</w:t>
            </w:r>
            <w:r w:rsidRPr="00A04F75">
              <w:rPr>
                <w:rFonts w:ascii="Times New Roman" w:hAnsi="Times New Roman" w:cs="Times New Roman"/>
                <w:szCs w:val="24"/>
                <w:vertAlign w:val="superscript"/>
              </w:rPr>
              <w:t>**</w:t>
            </w:r>
          </w:p>
        </w:tc>
        <w:tc>
          <w:tcPr>
            <w:tcW w:w="1125" w:type="dxa"/>
            <w:tcBorders>
              <w:top w:val="nil"/>
              <w:left w:val="nil"/>
              <w:bottom w:val="nil"/>
              <w:right w:val="nil"/>
            </w:tcBorders>
          </w:tcPr>
          <w:p w14:paraId="246556C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4.02</w:t>
            </w:r>
            <w:r w:rsidRPr="00A04F75">
              <w:rPr>
                <w:rFonts w:ascii="Times New Roman" w:hAnsi="Times New Roman" w:cs="Times New Roman"/>
                <w:szCs w:val="24"/>
                <w:vertAlign w:val="superscript"/>
              </w:rPr>
              <w:t>**</w:t>
            </w:r>
          </w:p>
        </w:tc>
        <w:tc>
          <w:tcPr>
            <w:tcW w:w="985" w:type="dxa"/>
            <w:tcBorders>
              <w:top w:val="nil"/>
              <w:left w:val="nil"/>
              <w:bottom w:val="nil"/>
              <w:right w:val="nil"/>
            </w:tcBorders>
          </w:tcPr>
          <w:p w14:paraId="5EBF251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3.25</w:t>
            </w:r>
            <w:r w:rsidRPr="00A04F75">
              <w:rPr>
                <w:rFonts w:ascii="Times New Roman" w:hAnsi="Times New Roman" w:cs="Times New Roman"/>
                <w:szCs w:val="24"/>
                <w:vertAlign w:val="superscript"/>
              </w:rPr>
              <w:t>**</w:t>
            </w:r>
          </w:p>
        </w:tc>
        <w:tc>
          <w:tcPr>
            <w:tcW w:w="984" w:type="dxa"/>
            <w:tcBorders>
              <w:top w:val="nil"/>
              <w:left w:val="nil"/>
              <w:bottom w:val="nil"/>
              <w:right w:val="nil"/>
            </w:tcBorders>
          </w:tcPr>
          <w:p w14:paraId="65FF263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3.01</w:t>
            </w:r>
            <w:r w:rsidRPr="00A04F75">
              <w:rPr>
                <w:rFonts w:ascii="Times New Roman" w:hAnsi="Times New Roman" w:cs="Times New Roman"/>
                <w:szCs w:val="24"/>
                <w:vertAlign w:val="superscript"/>
              </w:rPr>
              <w:t>**</w:t>
            </w:r>
          </w:p>
        </w:tc>
        <w:tc>
          <w:tcPr>
            <w:tcW w:w="1063" w:type="dxa"/>
            <w:gridSpan w:val="2"/>
            <w:tcBorders>
              <w:top w:val="nil"/>
              <w:left w:val="nil"/>
              <w:bottom w:val="nil"/>
              <w:right w:val="nil"/>
            </w:tcBorders>
          </w:tcPr>
          <w:p w14:paraId="086B038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2.76</w:t>
            </w:r>
            <w:r w:rsidRPr="00A04F75">
              <w:rPr>
                <w:rFonts w:ascii="Times New Roman" w:hAnsi="Times New Roman" w:cs="Times New Roman"/>
                <w:szCs w:val="24"/>
                <w:vertAlign w:val="superscript"/>
              </w:rPr>
              <w:t>**</w:t>
            </w:r>
          </w:p>
        </w:tc>
      </w:tr>
      <w:tr w:rsidR="002A175E" w:rsidRPr="002F3B34" w14:paraId="429AE3F5" w14:textId="77777777" w:rsidTr="002A175E">
        <w:tc>
          <w:tcPr>
            <w:tcW w:w="2915" w:type="dxa"/>
            <w:vMerge/>
            <w:tcBorders>
              <w:left w:val="nil"/>
              <w:bottom w:val="nil"/>
              <w:right w:val="nil"/>
            </w:tcBorders>
          </w:tcPr>
          <w:p w14:paraId="301B39DB"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1F875DDA"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27283F2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(1.10)</w:t>
            </w:r>
          </w:p>
        </w:tc>
        <w:tc>
          <w:tcPr>
            <w:tcW w:w="1125" w:type="dxa"/>
            <w:tcBorders>
              <w:top w:val="nil"/>
              <w:left w:val="nil"/>
              <w:bottom w:val="nil"/>
              <w:right w:val="nil"/>
            </w:tcBorders>
          </w:tcPr>
          <w:p w14:paraId="4E0A7AA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(1.08)</w:t>
            </w:r>
          </w:p>
        </w:tc>
        <w:tc>
          <w:tcPr>
            <w:tcW w:w="985" w:type="dxa"/>
            <w:tcBorders>
              <w:top w:val="nil"/>
              <w:left w:val="nil"/>
              <w:bottom w:val="nil"/>
              <w:right w:val="nil"/>
            </w:tcBorders>
          </w:tcPr>
          <w:p w14:paraId="031126B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(0.80)</w:t>
            </w:r>
          </w:p>
        </w:tc>
        <w:tc>
          <w:tcPr>
            <w:tcW w:w="984" w:type="dxa"/>
            <w:tcBorders>
              <w:top w:val="nil"/>
              <w:left w:val="nil"/>
              <w:bottom w:val="nil"/>
              <w:right w:val="nil"/>
            </w:tcBorders>
          </w:tcPr>
          <w:p w14:paraId="4406716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(0.84)</w:t>
            </w:r>
          </w:p>
        </w:tc>
        <w:tc>
          <w:tcPr>
            <w:tcW w:w="1063" w:type="dxa"/>
            <w:gridSpan w:val="2"/>
            <w:tcBorders>
              <w:top w:val="nil"/>
              <w:left w:val="nil"/>
              <w:bottom w:val="nil"/>
              <w:right w:val="nil"/>
            </w:tcBorders>
          </w:tcPr>
          <w:p w14:paraId="463A389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(0.83)</w:t>
            </w:r>
          </w:p>
        </w:tc>
      </w:tr>
      <w:tr w:rsidR="002A175E" w:rsidRPr="002F3B34" w14:paraId="7BDE2F0C" w14:textId="77777777" w:rsidTr="002A175E">
        <w:tc>
          <w:tcPr>
            <w:tcW w:w="2915" w:type="dxa"/>
            <w:tcBorders>
              <w:top w:val="nil"/>
              <w:left w:val="nil"/>
              <w:bottom w:val="nil"/>
              <w:right w:val="nil"/>
            </w:tcBorders>
          </w:tcPr>
          <w:p w14:paraId="4B2810AF"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5B14EBE1"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4CA9FC91"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304B1ABF"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4C4DE395"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6320AEEE"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77E3DE90"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r>
      <w:tr w:rsidR="002A175E" w:rsidRPr="002F3B34" w14:paraId="3901631D" w14:textId="77777777" w:rsidTr="002A175E">
        <w:tc>
          <w:tcPr>
            <w:tcW w:w="2915" w:type="dxa"/>
            <w:vMerge w:val="restart"/>
            <w:tcBorders>
              <w:top w:val="nil"/>
              <w:left w:val="nil"/>
              <w:right w:val="nil"/>
            </w:tcBorders>
          </w:tcPr>
          <w:p w14:paraId="15BFDF91"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D41F59">
              <w:rPr>
                <w:rFonts w:ascii="Times New Roman" w:hAnsi="Times New Roman" w:cs="Times New Roman"/>
                <w:szCs w:val="24"/>
              </w:rPr>
              <w:t>Public debt as percentage of GDP in the previous year</w:t>
            </w:r>
          </w:p>
        </w:tc>
        <w:tc>
          <w:tcPr>
            <w:tcW w:w="1125" w:type="dxa"/>
            <w:tcBorders>
              <w:top w:val="nil"/>
              <w:left w:val="nil"/>
              <w:bottom w:val="nil"/>
              <w:right w:val="nil"/>
            </w:tcBorders>
          </w:tcPr>
          <w:p w14:paraId="7CF0690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2DFB44C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1B8B837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0.044</w:t>
            </w:r>
          </w:p>
        </w:tc>
        <w:tc>
          <w:tcPr>
            <w:tcW w:w="985" w:type="dxa"/>
            <w:tcBorders>
              <w:top w:val="nil"/>
              <w:left w:val="nil"/>
              <w:bottom w:val="nil"/>
              <w:right w:val="nil"/>
            </w:tcBorders>
          </w:tcPr>
          <w:p w14:paraId="523ED33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0.074</w:t>
            </w:r>
          </w:p>
        </w:tc>
        <w:tc>
          <w:tcPr>
            <w:tcW w:w="984" w:type="dxa"/>
            <w:tcBorders>
              <w:top w:val="nil"/>
              <w:left w:val="nil"/>
              <w:bottom w:val="nil"/>
              <w:right w:val="nil"/>
            </w:tcBorders>
          </w:tcPr>
          <w:p w14:paraId="4F39587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0.030</w:t>
            </w:r>
          </w:p>
        </w:tc>
        <w:tc>
          <w:tcPr>
            <w:tcW w:w="1063" w:type="dxa"/>
            <w:gridSpan w:val="2"/>
            <w:tcBorders>
              <w:top w:val="nil"/>
              <w:left w:val="nil"/>
              <w:bottom w:val="nil"/>
              <w:right w:val="nil"/>
            </w:tcBorders>
          </w:tcPr>
          <w:p w14:paraId="6603C09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-0.013</w:t>
            </w:r>
          </w:p>
        </w:tc>
      </w:tr>
      <w:tr w:rsidR="002A175E" w:rsidRPr="002F3B34" w14:paraId="6A26F694" w14:textId="77777777" w:rsidTr="002A175E">
        <w:tc>
          <w:tcPr>
            <w:tcW w:w="2915" w:type="dxa"/>
            <w:vMerge/>
            <w:tcBorders>
              <w:left w:val="nil"/>
              <w:bottom w:val="nil"/>
              <w:right w:val="nil"/>
            </w:tcBorders>
          </w:tcPr>
          <w:p w14:paraId="054410BA"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1F42641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5106D33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0DE1F7C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(0.13)</w:t>
            </w:r>
          </w:p>
        </w:tc>
        <w:tc>
          <w:tcPr>
            <w:tcW w:w="985" w:type="dxa"/>
            <w:tcBorders>
              <w:top w:val="nil"/>
              <w:left w:val="nil"/>
              <w:bottom w:val="nil"/>
              <w:right w:val="nil"/>
            </w:tcBorders>
          </w:tcPr>
          <w:p w14:paraId="30EAEDA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984" w:type="dxa"/>
            <w:tcBorders>
              <w:top w:val="nil"/>
              <w:left w:val="nil"/>
              <w:bottom w:val="nil"/>
              <w:right w:val="nil"/>
            </w:tcBorders>
          </w:tcPr>
          <w:p w14:paraId="3FACC6A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1063" w:type="dxa"/>
            <w:gridSpan w:val="2"/>
            <w:tcBorders>
              <w:top w:val="nil"/>
              <w:left w:val="nil"/>
              <w:bottom w:val="nil"/>
              <w:right w:val="nil"/>
            </w:tcBorders>
          </w:tcPr>
          <w:p w14:paraId="624E1FC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(0.14)</w:t>
            </w:r>
          </w:p>
        </w:tc>
      </w:tr>
      <w:tr w:rsidR="002A175E" w:rsidRPr="002F3B34" w14:paraId="56CCFC9F" w14:textId="77777777" w:rsidTr="002A175E">
        <w:tc>
          <w:tcPr>
            <w:tcW w:w="2915" w:type="dxa"/>
            <w:tcBorders>
              <w:top w:val="nil"/>
              <w:left w:val="nil"/>
              <w:bottom w:val="nil"/>
              <w:right w:val="nil"/>
            </w:tcBorders>
          </w:tcPr>
          <w:p w14:paraId="73CE7650"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529DC024"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08E10045"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3AD40CB7"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73F8A46A"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24C871D7"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38C41E59"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r>
      <w:tr w:rsidR="002A175E" w:rsidRPr="002F3B34" w14:paraId="2548BD0A" w14:textId="77777777" w:rsidTr="002A175E">
        <w:tc>
          <w:tcPr>
            <w:tcW w:w="2915" w:type="dxa"/>
            <w:vMerge w:val="restart"/>
            <w:tcBorders>
              <w:top w:val="nil"/>
              <w:left w:val="nil"/>
              <w:right w:val="nil"/>
            </w:tcBorders>
          </w:tcPr>
          <w:p w14:paraId="110433C2"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D41F59">
              <w:rPr>
                <w:rFonts w:ascii="Times New Roman" w:hAnsi="Times New Roman" w:cs="Times New Roman"/>
                <w:szCs w:val="24"/>
              </w:rPr>
              <w:t>Implemented austerity in current year</w:t>
            </w:r>
          </w:p>
        </w:tc>
        <w:tc>
          <w:tcPr>
            <w:tcW w:w="1125" w:type="dxa"/>
            <w:tcBorders>
              <w:top w:val="nil"/>
              <w:left w:val="nil"/>
              <w:bottom w:val="nil"/>
              <w:right w:val="nil"/>
            </w:tcBorders>
          </w:tcPr>
          <w:p w14:paraId="694264B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331E355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28F03BC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2332ACA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-62.4</w:t>
            </w:r>
            <w:r w:rsidRPr="00A04F75">
              <w:rPr>
                <w:rFonts w:ascii="Times New Roman" w:hAnsi="Times New Roman" w:cs="Times New Roman"/>
                <w:szCs w:val="24"/>
                <w:vertAlign w:val="superscript"/>
              </w:rPr>
              <w:t>**</w:t>
            </w:r>
          </w:p>
        </w:tc>
        <w:tc>
          <w:tcPr>
            <w:tcW w:w="984" w:type="dxa"/>
            <w:tcBorders>
              <w:top w:val="nil"/>
              <w:left w:val="nil"/>
              <w:bottom w:val="nil"/>
              <w:right w:val="nil"/>
            </w:tcBorders>
          </w:tcPr>
          <w:p w14:paraId="6A15FDD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-61.2</w:t>
            </w:r>
            <w:r w:rsidRPr="00A04F75">
              <w:rPr>
                <w:rFonts w:ascii="Times New Roman" w:hAnsi="Times New Roman" w:cs="Times New Roman"/>
                <w:szCs w:val="24"/>
                <w:vertAlign w:val="superscript"/>
              </w:rPr>
              <w:t>**</w:t>
            </w:r>
          </w:p>
        </w:tc>
        <w:tc>
          <w:tcPr>
            <w:tcW w:w="1063" w:type="dxa"/>
            <w:gridSpan w:val="2"/>
            <w:tcBorders>
              <w:top w:val="nil"/>
              <w:left w:val="nil"/>
              <w:bottom w:val="nil"/>
              <w:right w:val="nil"/>
            </w:tcBorders>
          </w:tcPr>
          <w:p w14:paraId="68B93C3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-64.9</w:t>
            </w:r>
            <w:r w:rsidRPr="00A04F75">
              <w:rPr>
                <w:rFonts w:ascii="Times New Roman" w:hAnsi="Times New Roman" w:cs="Times New Roman"/>
                <w:szCs w:val="24"/>
                <w:vertAlign w:val="superscript"/>
              </w:rPr>
              <w:t>**</w:t>
            </w:r>
          </w:p>
        </w:tc>
      </w:tr>
      <w:tr w:rsidR="002A175E" w:rsidRPr="002F3B34" w14:paraId="0E7A8367" w14:textId="77777777" w:rsidTr="002A175E">
        <w:tc>
          <w:tcPr>
            <w:tcW w:w="2915" w:type="dxa"/>
            <w:vMerge/>
            <w:tcBorders>
              <w:left w:val="nil"/>
              <w:bottom w:val="nil"/>
              <w:right w:val="nil"/>
            </w:tcBorders>
          </w:tcPr>
          <w:p w14:paraId="7288EA0B"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098797C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31D6FA8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1F55ADD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34FBC03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(11.4)</w:t>
            </w:r>
          </w:p>
        </w:tc>
        <w:tc>
          <w:tcPr>
            <w:tcW w:w="984" w:type="dxa"/>
            <w:tcBorders>
              <w:top w:val="nil"/>
              <w:left w:val="nil"/>
              <w:bottom w:val="nil"/>
              <w:right w:val="nil"/>
            </w:tcBorders>
          </w:tcPr>
          <w:p w14:paraId="3908E78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(11.5)</w:t>
            </w:r>
          </w:p>
        </w:tc>
        <w:tc>
          <w:tcPr>
            <w:tcW w:w="1063" w:type="dxa"/>
            <w:gridSpan w:val="2"/>
            <w:tcBorders>
              <w:top w:val="nil"/>
              <w:left w:val="nil"/>
              <w:bottom w:val="nil"/>
              <w:right w:val="nil"/>
            </w:tcBorders>
          </w:tcPr>
          <w:p w14:paraId="25A6E3B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(13.1)</w:t>
            </w:r>
          </w:p>
        </w:tc>
      </w:tr>
      <w:tr w:rsidR="002A175E" w:rsidRPr="002F3B34" w14:paraId="4E91C3AE" w14:textId="77777777" w:rsidTr="002A175E">
        <w:tc>
          <w:tcPr>
            <w:tcW w:w="2915" w:type="dxa"/>
            <w:tcBorders>
              <w:top w:val="nil"/>
              <w:left w:val="nil"/>
              <w:bottom w:val="nil"/>
              <w:right w:val="nil"/>
            </w:tcBorders>
          </w:tcPr>
          <w:p w14:paraId="0D0FC86F"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3188FEC6"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6FA2D176"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544A8C69"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4AF96B64"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5D99AD99"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6BA5B15A"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r>
      <w:tr w:rsidR="002A175E" w:rsidRPr="002F3B34" w14:paraId="7EEC4CD9" w14:textId="77777777" w:rsidTr="002A175E">
        <w:tc>
          <w:tcPr>
            <w:tcW w:w="2915" w:type="dxa"/>
            <w:vMerge w:val="restart"/>
            <w:tcBorders>
              <w:top w:val="nil"/>
              <w:left w:val="nil"/>
              <w:right w:val="nil"/>
            </w:tcBorders>
          </w:tcPr>
          <w:p w14:paraId="490CB8F6"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D41F59">
              <w:rPr>
                <w:rFonts w:ascii="Times New Roman" w:hAnsi="Times New Roman" w:cs="Times New Roman"/>
                <w:szCs w:val="24"/>
              </w:rPr>
              <w:t xml:space="preserve">IMF bailout active in current year </w:t>
            </w:r>
          </w:p>
        </w:tc>
        <w:tc>
          <w:tcPr>
            <w:tcW w:w="1125" w:type="dxa"/>
            <w:tcBorders>
              <w:top w:val="nil"/>
              <w:left w:val="nil"/>
              <w:bottom w:val="nil"/>
              <w:right w:val="nil"/>
            </w:tcBorders>
          </w:tcPr>
          <w:p w14:paraId="08208B8A"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6395DC4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072FD9D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51C515B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10DE52E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-21.0</w:t>
            </w:r>
            <w:r w:rsidRPr="00A04F75">
              <w:rPr>
                <w:rFonts w:ascii="Times New Roman" w:hAnsi="Times New Roman" w:cs="Times New Roman"/>
                <w:szCs w:val="24"/>
                <w:vertAlign w:val="superscript"/>
              </w:rPr>
              <w:t>*</w:t>
            </w:r>
          </w:p>
        </w:tc>
        <w:tc>
          <w:tcPr>
            <w:tcW w:w="1063" w:type="dxa"/>
            <w:gridSpan w:val="2"/>
            <w:tcBorders>
              <w:top w:val="nil"/>
              <w:left w:val="nil"/>
              <w:bottom w:val="nil"/>
              <w:right w:val="nil"/>
            </w:tcBorders>
          </w:tcPr>
          <w:p w14:paraId="3C1EA6A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-31.9</w:t>
            </w:r>
            <w:r w:rsidRPr="00A04F75">
              <w:rPr>
                <w:rFonts w:ascii="Times New Roman" w:hAnsi="Times New Roman" w:cs="Times New Roman"/>
                <w:szCs w:val="24"/>
                <w:vertAlign w:val="superscript"/>
              </w:rPr>
              <w:t>*</w:t>
            </w:r>
          </w:p>
        </w:tc>
      </w:tr>
      <w:tr w:rsidR="002A175E" w:rsidRPr="002F3B34" w14:paraId="68A59A7E" w14:textId="77777777" w:rsidTr="002A175E">
        <w:tc>
          <w:tcPr>
            <w:tcW w:w="2915" w:type="dxa"/>
            <w:vMerge/>
            <w:tcBorders>
              <w:left w:val="nil"/>
              <w:bottom w:val="nil"/>
              <w:right w:val="nil"/>
            </w:tcBorders>
          </w:tcPr>
          <w:p w14:paraId="4A4D2E85"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0DFE90B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7A03762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71D7B72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7B9AA4B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76AEE8C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(9.68)</w:t>
            </w:r>
          </w:p>
        </w:tc>
        <w:tc>
          <w:tcPr>
            <w:tcW w:w="1063" w:type="dxa"/>
            <w:gridSpan w:val="2"/>
            <w:tcBorders>
              <w:top w:val="nil"/>
              <w:left w:val="nil"/>
              <w:bottom w:val="nil"/>
              <w:right w:val="nil"/>
            </w:tcBorders>
          </w:tcPr>
          <w:p w14:paraId="2F263AA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(14.5)</w:t>
            </w:r>
          </w:p>
        </w:tc>
      </w:tr>
      <w:tr w:rsidR="002A175E" w:rsidRPr="002F3B34" w14:paraId="552B7EEA" w14:textId="77777777" w:rsidTr="002A175E">
        <w:tc>
          <w:tcPr>
            <w:tcW w:w="2915" w:type="dxa"/>
            <w:tcBorders>
              <w:top w:val="nil"/>
              <w:left w:val="nil"/>
              <w:bottom w:val="nil"/>
              <w:right w:val="nil"/>
            </w:tcBorders>
          </w:tcPr>
          <w:p w14:paraId="3424D4F3"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040A4DD1"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1A57EEBE"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3A6EC21F"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4619E399"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6A3D313B"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48969DAB"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r>
      <w:tr w:rsidR="002A175E" w:rsidRPr="002F3B34" w14:paraId="1DEC834C" w14:textId="77777777" w:rsidTr="002A175E">
        <w:tc>
          <w:tcPr>
            <w:tcW w:w="2915" w:type="dxa"/>
            <w:tcBorders>
              <w:top w:val="nil"/>
              <w:left w:val="nil"/>
              <w:bottom w:val="nil"/>
              <w:right w:val="nil"/>
            </w:tcBorders>
          </w:tcPr>
          <w:p w14:paraId="00B0B007"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Left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1125" w:type="dxa"/>
            <w:tcBorders>
              <w:top w:val="nil"/>
              <w:left w:val="nil"/>
              <w:bottom w:val="nil"/>
              <w:right w:val="nil"/>
            </w:tcBorders>
          </w:tcPr>
          <w:p w14:paraId="155DA7E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45000F7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2E5DD11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602BF9F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1222181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4102A7C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-15.3</w:t>
            </w:r>
          </w:p>
        </w:tc>
      </w:tr>
      <w:tr w:rsidR="002A175E" w:rsidRPr="002F3B34" w14:paraId="77173AE8" w14:textId="77777777" w:rsidTr="002A175E">
        <w:tc>
          <w:tcPr>
            <w:tcW w:w="2915" w:type="dxa"/>
            <w:tcBorders>
              <w:top w:val="nil"/>
              <w:left w:val="nil"/>
              <w:bottom w:val="nil"/>
              <w:right w:val="nil"/>
            </w:tcBorders>
          </w:tcPr>
          <w:p w14:paraId="1575BEF2"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612B169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4D0D8B8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1BAF4FA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2F8F92A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31FB1552"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086DCB27"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(12.9)</w:t>
            </w:r>
          </w:p>
        </w:tc>
      </w:tr>
      <w:tr w:rsidR="002A175E" w:rsidRPr="002F3B34" w14:paraId="7A18FB41" w14:textId="77777777" w:rsidTr="002A175E">
        <w:tc>
          <w:tcPr>
            <w:tcW w:w="2915" w:type="dxa"/>
            <w:tcBorders>
              <w:top w:val="nil"/>
              <w:left w:val="nil"/>
              <w:bottom w:val="nil"/>
              <w:right w:val="nil"/>
            </w:tcBorders>
          </w:tcPr>
          <w:p w14:paraId="513BC8C5"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7D921C62"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6957CE3D"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688FF710"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76061925"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62FF95B4"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021EFE93"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r>
      <w:tr w:rsidR="002A175E" w:rsidRPr="002F3B34" w14:paraId="54664682" w14:textId="77777777" w:rsidTr="002A175E">
        <w:tc>
          <w:tcPr>
            <w:tcW w:w="2915" w:type="dxa"/>
            <w:tcBorders>
              <w:top w:val="nil"/>
              <w:left w:val="nil"/>
              <w:bottom w:val="nil"/>
              <w:right w:val="nil"/>
            </w:tcBorders>
          </w:tcPr>
          <w:p w14:paraId="2B6BF31D"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Right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1125" w:type="dxa"/>
            <w:tcBorders>
              <w:top w:val="nil"/>
              <w:left w:val="nil"/>
              <w:bottom w:val="nil"/>
              <w:right w:val="nil"/>
            </w:tcBorders>
          </w:tcPr>
          <w:p w14:paraId="675A6BB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12E4011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500A712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3BA39592"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0DADE8E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63CD41E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-18.7</w:t>
            </w:r>
          </w:p>
        </w:tc>
      </w:tr>
      <w:tr w:rsidR="002A175E" w:rsidRPr="002F3B34" w14:paraId="40D43923" w14:textId="77777777" w:rsidTr="002A175E">
        <w:tc>
          <w:tcPr>
            <w:tcW w:w="2915" w:type="dxa"/>
            <w:tcBorders>
              <w:top w:val="nil"/>
              <w:left w:val="nil"/>
              <w:bottom w:val="nil"/>
              <w:right w:val="nil"/>
            </w:tcBorders>
          </w:tcPr>
          <w:p w14:paraId="72ABD246"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nil"/>
              <w:right w:val="nil"/>
            </w:tcBorders>
          </w:tcPr>
          <w:p w14:paraId="44AEBA9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7E393A1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nil"/>
              <w:right w:val="nil"/>
            </w:tcBorders>
          </w:tcPr>
          <w:p w14:paraId="7476CBF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nil"/>
              <w:right w:val="nil"/>
            </w:tcBorders>
          </w:tcPr>
          <w:p w14:paraId="0C7B986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nil"/>
              <w:right w:val="nil"/>
            </w:tcBorders>
          </w:tcPr>
          <w:p w14:paraId="7C91660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nil"/>
              <w:right w:val="nil"/>
            </w:tcBorders>
          </w:tcPr>
          <w:p w14:paraId="7103FB7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(15.5)</w:t>
            </w:r>
          </w:p>
        </w:tc>
      </w:tr>
      <w:tr w:rsidR="002A175E" w:rsidRPr="002F3B34" w14:paraId="1C373236" w14:textId="77777777" w:rsidTr="002A175E">
        <w:tc>
          <w:tcPr>
            <w:tcW w:w="2915" w:type="dxa"/>
            <w:tcBorders>
              <w:top w:val="nil"/>
              <w:left w:val="nil"/>
              <w:bottom w:val="single" w:sz="4" w:space="0" w:color="auto"/>
              <w:right w:val="nil"/>
            </w:tcBorders>
          </w:tcPr>
          <w:p w14:paraId="28A0D340"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1125" w:type="dxa"/>
            <w:tcBorders>
              <w:top w:val="nil"/>
              <w:left w:val="nil"/>
              <w:bottom w:val="single" w:sz="4" w:space="0" w:color="auto"/>
              <w:right w:val="nil"/>
            </w:tcBorders>
          </w:tcPr>
          <w:p w14:paraId="3CD5086E"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single" w:sz="4" w:space="0" w:color="auto"/>
              <w:right w:val="nil"/>
            </w:tcBorders>
          </w:tcPr>
          <w:p w14:paraId="53B1370E"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125" w:type="dxa"/>
            <w:tcBorders>
              <w:top w:val="nil"/>
              <w:left w:val="nil"/>
              <w:bottom w:val="single" w:sz="4" w:space="0" w:color="auto"/>
              <w:right w:val="nil"/>
            </w:tcBorders>
          </w:tcPr>
          <w:p w14:paraId="5099FEC8"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5" w:type="dxa"/>
            <w:tcBorders>
              <w:top w:val="nil"/>
              <w:left w:val="nil"/>
              <w:bottom w:val="single" w:sz="4" w:space="0" w:color="auto"/>
              <w:right w:val="nil"/>
            </w:tcBorders>
          </w:tcPr>
          <w:p w14:paraId="3ED031AC"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984" w:type="dxa"/>
            <w:tcBorders>
              <w:top w:val="nil"/>
              <w:left w:val="nil"/>
              <w:bottom w:val="single" w:sz="4" w:space="0" w:color="auto"/>
              <w:right w:val="nil"/>
            </w:tcBorders>
          </w:tcPr>
          <w:p w14:paraId="540E665B"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c>
          <w:tcPr>
            <w:tcW w:w="1063" w:type="dxa"/>
            <w:gridSpan w:val="2"/>
            <w:tcBorders>
              <w:top w:val="nil"/>
              <w:left w:val="nil"/>
              <w:bottom w:val="single" w:sz="4" w:space="0" w:color="auto"/>
              <w:right w:val="nil"/>
            </w:tcBorders>
          </w:tcPr>
          <w:p w14:paraId="477986DA" w14:textId="77777777" w:rsidR="002A175E" w:rsidRPr="002F3B34" w:rsidRDefault="002A175E" w:rsidP="00A84EB0">
            <w:pPr>
              <w:widowControl w:val="0"/>
              <w:autoSpaceDE w:val="0"/>
              <w:autoSpaceDN w:val="0"/>
              <w:adjustRightInd w:val="0"/>
              <w:jc w:val="center"/>
              <w:rPr>
                <w:rFonts w:ascii="Times New Roman" w:hAnsi="Times New Roman" w:cs="Times New Roman"/>
                <w:szCs w:val="24"/>
              </w:rPr>
            </w:pPr>
          </w:p>
        </w:tc>
      </w:tr>
      <w:tr w:rsidR="002A175E" w:rsidRPr="002F3B34" w14:paraId="08F49550" w14:textId="77777777" w:rsidTr="002A175E">
        <w:tc>
          <w:tcPr>
            <w:tcW w:w="2915" w:type="dxa"/>
            <w:tcBorders>
              <w:top w:val="single" w:sz="4" w:space="0" w:color="auto"/>
              <w:left w:val="nil"/>
              <w:right w:val="nil"/>
            </w:tcBorders>
          </w:tcPr>
          <w:p w14:paraId="0C8E135E" w14:textId="77777777" w:rsidR="002A175E" w:rsidRPr="002F3B34" w:rsidRDefault="002A175E" w:rsidP="002A175E">
            <w:pPr>
              <w:widowControl w:val="0"/>
              <w:autoSpaceDE w:val="0"/>
              <w:autoSpaceDN w:val="0"/>
              <w:adjustRightInd w:val="0"/>
              <w:rPr>
                <w:rFonts w:ascii="Times New Roman" w:hAnsi="Times New Roman" w:cs="Times New Roman"/>
                <w:iCs/>
                <w:szCs w:val="24"/>
              </w:rPr>
            </w:pPr>
            <w:r w:rsidRPr="00A04F75">
              <w:rPr>
                <w:rFonts w:ascii="Times New Roman" w:hAnsi="Times New Roman" w:cs="Times New Roman"/>
                <w:iCs/>
                <w:szCs w:val="24"/>
              </w:rPr>
              <w:t>Country-years</w:t>
            </w:r>
          </w:p>
        </w:tc>
        <w:tc>
          <w:tcPr>
            <w:tcW w:w="1125" w:type="dxa"/>
            <w:tcBorders>
              <w:top w:val="single" w:sz="4" w:space="0" w:color="auto"/>
              <w:left w:val="nil"/>
              <w:right w:val="nil"/>
            </w:tcBorders>
          </w:tcPr>
          <w:p w14:paraId="4189B72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398</w:t>
            </w:r>
          </w:p>
        </w:tc>
        <w:tc>
          <w:tcPr>
            <w:tcW w:w="1125" w:type="dxa"/>
            <w:tcBorders>
              <w:top w:val="single" w:sz="4" w:space="0" w:color="auto"/>
              <w:left w:val="nil"/>
              <w:right w:val="nil"/>
            </w:tcBorders>
          </w:tcPr>
          <w:p w14:paraId="5B43D08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387</w:t>
            </w:r>
          </w:p>
        </w:tc>
        <w:tc>
          <w:tcPr>
            <w:tcW w:w="1125" w:type="dxa"/>
            <w:tcBorders>
              <w:top w:val="single" w:sz="4" w:space="0" w:color="auto"/>
              <w:left w:val="nil"/>
              <w:right w:val="nil"/>
            </w:tcBorders>
          </w:tcPr>
          <w:p w14:paraId="53A456F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381</w:t>
            </w:r>
          </w:p>
        </w:tc>
        <w:tc>
          <w:tcPr>
            <w:tcW w:w="985" w:type="dxa"/>
            <w:tcBorders>
              <w:top w:val="single" w:sz="4" w:space="0" w:color="auto"/>
              <w:left w:val="nil"/>
              <w:right w:val="nil"/>
            </w:tcBorders>
          </w:tcPr>
          <w:p w14:paraId="62A9F05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381</w:t>
            </w:r>
          </w:p>
        </w:tc>
        <w:tc>
          <w:tcPr>
            <w:tcW w:w="984" w:type="dxa"/>
            <w:tcBorders>
              <w:top w:val="single" w:sz="4" w:space="0" w:color="auto"/>
              <w:left w:val="nil"/>
              <w:right w:val="nil"/>
            </w:tcBorders>
          </w:tcPr>
          <w:p w14:paraId="2C77126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381</w:t>
            </w:r>
          </w:p>
        </w:tc>
        <w:tc>
          <w:tcPr>
            <w:tcW w:w="1063" w:type="dxa"/>
            <w:gridSpan w:val="2"/>
            <w:tcBorders>
              <w:top w:val="single" w:sz="4" w:space="0" w:color="auto"/>
              <w:left w:val="nil"/>
              <w:right w:val="nil"/>
            </w:tcBorders>
          </w:tcPr>
          <w:p w14:paraId="6F0AB5F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329</w:t>
            </w:r>
          </w:p>
        </w:tc>
      </w:tr>
      <w:tr w:rsidR="002A175E" w:rsidRPr="002F3B34" w14:paraId="52391ACA" w14:textId="77777777" w:rsidTr="002A175E">
        <w:tc>
          <w:tcPr>
            <w:tcW w:w="2915" w:type="dxa"/>
            <w:tcBorders>
              <w:left w:val="nil"/>
              <w:right w:val="nil"/>
            </w:tcBorders>
          </w:tcPr>
          <w:p w14:paraId="2A10CED8"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iCs/>
                <w:szCs w:val="24"/>
              </w:rPr>
              <w:t>Countries</w:t>
            </w:r>
          </w:p>
        </w:tc>
        <w:tc>
          <w:tcPr>
            <w:tcW w:w="1125" w:type="dxa"/>
            <w:tcBorders>
              <w:left w:val="nil"/>
              <w:right w:val="nil"/>
            </w:tcBorders>
          </w:tcPr>
          <w:p w14:paraId="61DBF17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1125" w:type="dxa"/>
            <w:tcBorders>
              <w:left w:val="nil"/>
              <w:right w:val="nil"/>
            </w:tcBorders>
          </w:tcPr>
          <w:p w14:paraId="4DCB102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1125" w:type="dxa"/>
            <w:tcBorders>
              <w:left w:val="nil"/>
              <w:right w:val="nil"/>
            </w:tcBorders>
          </w:tcPr>
          <w:p w14:paraId="0237DC0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985" w:type="dxa"/>
            <w:tcBorders>
              <w:left w:val="nil"/>
              <w:right w:val="nil"/>
            </w:tcBorders>
          </w:tcPr>
          <w:p w14:paraId="33FF9D1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984" w:type="dxa"/>
            <w:tcBorders>
              <w:left w:val="nil"/>
              <w:right w:val="nil"/>
            </w:tcBorders>
          </w:tcPr>
          <w:p w14:paraId="7039E12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1063" w:type="dxa"/>
            <w:gridSpan w:val="2"/>
            <w:tcBorders>
              <w:left w:val="nil"/>
              <w:right w:val="nil"/>
            </w:tcBorders>
          </w:tcPr>
          <w:p w14:paraId="777EB02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r>
      <w:tr w:rsidR="002A175E" w:rsidRPr="00A04F75" w14:paraId="74D6BC06" w14:textId="77777777" w:rsidTr="002A175E">
        <w:trPr>
          <w:gridAfter w:val="1"/>
          <w:wAfter w:w="79" w:type="dxa"/>
        </w:trPr>
        <w:tc>
          <w:tcPr>
            <w:tcW w:w="2915" w:type="dxa"/>
            <w:tcBorders>
              <w:left w:val="nil"/>
              <w:bottom w:val="single" w:sz="4" w:space="0" w:color="auto"/>
              <w:right w:val="nil"/>
            </w:tcBorders>
          </w:tcPr>
          <w:p w14:paraId="73C5A7FF" w14:textId="77777777" w:rsidR="002A175E" w:rsidRPr="00D41F59" w:rsidRDefault="002A175E" w:rsidP="002A175E">
            <w:pPr>
              <w:widowControl w:val="0"/>
              <w:autoSpaceDE w:val="0"/>
              <w:autoSpaceDN w:val="0"/>
              <w:adjustRightInd w:val="0"/>
              <w:rPr>
                <w:rFonts w:ascii="Times New Roman" w:hAnsi="Times New Roman" w:cs="Times New Roman"/>
                <w:i/>
                <w:iCs/>
                <w:szCs w:val="24"/>
                <w:u w:val="single"/>
                <w:vertAlign w:val="superscript"/>
              </w:rPr>
            </w:pPr>
            <w:r w:rsidRPr="0002330C">
              <w:rPr>
                <w:rFonts w:ascii="Times New Roman" w:hAnsi="Times New Roman" w:cs="Times New Roman"/>
                <w:i/>
                <w:iCs/>
                <w:szCs w:val="24"/>
                <w:u w:val="single"/>
              </w:rPr>
              <w:t>R</w:t>
            </w:r>
            <w:r w:rsidRPr="0002330C">
              <w:rPr>
                <w:rFonts w:ascii="Times New Roman" w:hAnsi="Times New Roman" w:cs="Times New Roman"/>
                <w:i/>
                <w:iCs/>
                <w:szCs w:val="24"/>
                <w:u w:val="single"/>
                <w:vertAlign w:val="superscript"/>
              </w:rPr>
              <w:t>2</w:t>
            </w:r>
          </w:p>
        </w:tc>
        <w:tc>
          <w:tcPr>
            <w:tcW w:w="1125" w:type="dxa"/>
            <w:tcBorders>
              <w:left w:val="nil"/>
              <w:bottom w:val="single" w:sz="4" w:space="0" w:color="auto"/>
              <w:right w:val="nil"/>
            </w:tcBorders>
          </w:tcPr>
          <w:p w14:paraId="00CAE211"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0.074</w:t>
            </w:r>
          </w:p>
        </w:tc>
        <w:tc>
          <w:tcPr>
            <w:tcW w:w="1125" w:type="dxa"/>
            <w:tcBorders>
              <w:left w:val="nil"/>
              <w:bottom w:val="single" w:sz="4" w:space="0" w:color="auto"/>
              <w:right w:val="nil"/>
            </w:tcBorders>
          </w:tcPr>
          <w:p w14:paraId="024F668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1125" w:type="dxa"/>
            <w:tcBorders>
              <w:left w:val="nil"/>
              <w:bottom w:val="single" w:sz="4" w:space="0" w:color="auto"/>
              <w:right w:val="nil"/>
            </w:tcBorders>
          </w:tcPr>
          <w:p w14:paraId="3B1D9719"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985" w:type="dxa"/>
            <w:tcBorders>
              <w:left w:val="nil"/>
              <w:bottom w:val="single" w:sz="4" w:space="0" w:color="auto"/>
              <w:right w:val="nil"/>
            </w:tcBorders>
          </w:tcPr>
          <w:p w14:paraId="793A6CAF"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0.22</w:t>
            </w:r>
          </w:p>
        </w:tc>
        <w:tc>
          <w:tcPr>
            <w:tcW w:w="984" w:type="dxa"/>
            <w:tcBorders>
              <w:left w:val="nil"/>
              <w:bottom w:val="single" w:sz="4" w:space="0" w:color="auto"/>
              <w:right w:val="nil"/>
            </w:tcBorders>
          </w:tcPr>
          <w:p w14:paraId="51687BE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0.23</w:t>
            </w:r>
          </w:p>
        </w:tc>
        <w:tc>
          <w:tcPr>
            <w:tcW w:w="984" w:type="dxa"/>
            <w:tcBorders>
              <w:left w:val="nil"/>
              <w:bottom w:val="single" w:sz="4" w:space="0" w:color="auto"/>
              <w:right w:val="nil"/>
            </w:tcBorders>
          </w:tcPr>
          <w:p w14:paraId="3066DA70"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0.24</w:t>
            </w:r>
          </w:p>
        </w:tc>
      </w:tr>
    </w:tbl>
    <w:p w14:paraId="6CF81B01" w14:textId="77777777" w:rsidR="004F0B92" w:rsidRPr="002F3B34" w:rsidRDefault="004F0B92" w:rsidP="00A84EB0">
      <w:pPr>
        <w:widowControl w:val="0"/>
        <w:autoSpaceDE w:val="0"/>
        <w:autoSpaceDN w:val="0"/>
        <w:adjustRightInd w:val="0"/>
        <w:rPr>
          <w:rFonts w:ascii="Times New Roman" w:hAnsi="Times New Roman" w:cs="Times New Roman"/>
          <w:sz w:val="20"/>
          <w:szCs w:val="20"/>
        </w:rPr>
      </w:pPr>
      <w:r w:rsidRPr="00A84EB0">
        <w:rPr>
          <w:rFonts w:ascii="Times New Roman" w:hAnsi="Times New Roman" w:cs="Times New Roman"/>
          <w:i/>
          <w:sz w:val="20"/>
          <w:szCs w:val="20"/>
        </w:rPr>
        <w:t>Notes:</w:t>
      </w:r>
      <w:r w:rsidR="002A175E">
        <w:rPr>
          <w:rFonts w:ascii="Times New Roman" w:hAnsi="Times New Roman" w:cs="Times New Roman"/>
          <w:sz w:val="20"/>
          <w:szCs w:val="20"/>
        </w:rPr>
        <w:t xml:space="preserve"> </w:t>
      </w:r>
      <w:r w:rsidRPr="002F3B34">
        <w:rPr>
          <w:rFonts w:ascii="Times New Roman" w:hAnsi="Times New Roman" w:cs="Times New Roman"/>
          <w:sz w:val="20"/>
          <w:szCs w:val="20"/>
        </w:rPr>
        <w:t>Source: EuroStat 2013 edition, IMF MONA 2013 edition, World Bank Political Institutions Database 2013 edition.</w:t>
      </w:r>
    </w:p>
    <w:p w14:paraId="0530D3B4" w14:textId="77777777" w:rsidR="004F0B92" w:rsidRPr="002F3B34" w:rsidRDefault="004F0B92" w:rsidP="004F0B92">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 xml:space="preserve">Standard errors in parentheses, adjusted for repeated observations: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0.05,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0.01</w:t>
      </w:r>
    </w:p>
    <w:p w14:paraId="3D3647E1" w14:textId="77777777" w:rsidR="006D3D69" w:rsidRPr="006D3D69" w:rsidRDefault="006D3D69" w:rsidP="006D3D69">
      <w:pPr>
        <w:widowControl w:val="0"/>
        <w:autoSpaceDE w:val="0"/>
        <w:autoSpaceDN w:val="0"/>
        <w:adjustRightInd w:val="0"/>
        <w:rPr>
          <w:rFonts w:ascii="Times New Roman" w:hAnsi="Times New Roman" w:cs="Times New Roman"/>
          <w:bCs/>
          <w:sz w:val="20"/>
          <w:szCs w:val="20"/>
        </w:rPr>
      </w:pPr>
      <w:r w:rsidRPr="006D3D69">
        <w:rPr>
          <w:rFonts w:ascii="Times New Roman" w:hAnsi="Times New Roman" w:cs="Times New Roman"/>
          <w:bCs/>
          <w:sz w:val="20"/>
          <w:szCs w:val="20"/>
          <w:vertAlign w:val="superscript"/>
        </w:rPr>
        <w:t xml:space="preserve">† </w:t>
      </w:r>
      <w:r w:rsidRPr="006D3D69">
        <w:rPr>
          <w:rFonts w:ascii="Times New Roman" w:hAnsi="Times New Roman" w:cs="Times New Roman"/>
          <w:bCs/>
          <w:sz w:val="20"/>
          <w:szCs w:val="20"/>
        </w:rPr>
        <w:t>- units in real per capita, in constant purchasing-power-parity USD</w:t>
      </w:r>
    </w:p>
    <w:p w14:paraId="66705203" w14:textId="77777777" w:rsidR="004F0B92" w:rsidRPr="002F3B34" w:rsidRDefault="00A009B8" w:rsidP="004F0B92">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 xml:space="preserve">˚ Baseline category is Centre. </w:t>
      </w:r>
      <w:r w:rsidR="00C10BE4" w:rsidRPr="00C10BE4">
        <w:rPr>
          <w:rFonts w:ascii="Times New Roman" w:hAnsi="Times New Roman" w:cs="Times New Roman"/>
          <w:sz w:val="20"/>
          <w:szCs w:val="20"/>
        </w:rPr>
        <w:t xml:space="preserve">Taken from the World Bank Political Institutions database, </w:t>
      </w:r>
      <w:r w:rsidRPr="002F3B34">
        <w:rPr>
          <w:rFonts w:ascii="Times New Roman" w:hAnsi="Times New Roman" w:cs="Times New Roman"/>
          <w:sz w:val="20"/>
          <w:szCs w:val="20"/>
        </w:rPr>
        <w:t xml:space="preserve">Left </w:t>
      </w:r>
      <w:r w:rsidR="00C10BE4" w:rsidRPr="00C10BE4">
        <w:rPr>
          <w:rFonts w:ascii="Times New Roman" w:hAnsi="Times New Roman" w:cs="Times New Roman"/>
          <w:sz w:val="20"/>
          <w:szCs w:val="20"/>
        </w:rPr>
        <w:t xml:space="preserve">governing party </w:t>
      </w:r>
      <w:r w:rsidRPr="002F3B34">
        <w:rPr>
          <w:rFonts w:ascii="Times New Roman" w:hAnsi="Times New Roman" w:cs="Times New Roman"/>
          <w:sz w:val="20"/>
          <w:szCs w:val="20"/>
        </w:rPr>
        <w:t>and Right</w:t>
      </w:r>
      <w:r w:rsidR="00C10BE4" w:rsidRPr="00C10BE4">
        <w:rPr>
          <w:rFonts w:ascii="Times New Roman" w:hAnsi="Times New Roman" w:cs="Times New Roman"/>
          <w:sz w:val="20"/>
          <w:szCs w:val="20"/>
        </w:rPr>
        <w:t xml:space="preserve"> governing party</w:t>
      </w:r>
      <w:r w:rsidRPr="002F3B34">
        <w:rPr>
          <w:rFonts w:ascii="Times New Roman" w:hAnsi="Times New Roman" w:cs="Times New Roman"/>
          <w:sz w:val="20"/>
          <w:szCs w:val="20"/>
        </w:rPr>
        <w:t xml:space="preserve"> are measures of the economic ideology of the governing party (or the party whose leader is head of a coalition) derived from party manifestos.</w:t>
      </w:r>
    </w:p>
    <w:p w14:paraId="7E071DAB" w14:textId="77777777" w:rsidR="004F0B92" w:rsidRPr="00A84EB0" w:rsidRDefault="00A009B8" w:rsidP="00A84EB0">
      <w:pPr>
        <w:widowControl w:val="0"/>
        <w:autoSpaceDE w:val="0"/>
        <w:autoSpaceDN w:val="0"/>
        <w:adjustRightInd w:val="0"/>
        <w:rPr>
          <w:rFonts w:ascii="Times New Roman" w:hAnsi="Times New Roman"/>
          <w:sz w:val="20"/>
        </w:rPr>
      </w:pPr>
      <w:r w:rsidRPr="002F3B34">
        <w:rPr>
          <w:rFonts w:ascii="Times New Roman" w:hAnsi="Times New Roman" w:cs="Times New Roman"/>
          <w:sz w:val="20"/>
          <w:szCs w:val="20"/>
        </w:rPr>
        <w:t>IMF bailouts include Stand-by Arrangements, usually short-term lending</w:t>
      </w:r>
      <w:r w:rsidR="006D3D69" w:rsidRPr="006D3D69">
        <w:rPr>
          <w:rFonts w:ascii="Times New Roman" w:hAnsi="Times New Roman" w:cs="Times New Roman"/>
          <w:sz w:val="20"/>
          <w:szCs w:val="20"/>
        </w:rPr>
        <w:t xml:space="preserve"> to states to cover the effect of unanticipated shocks</w:t>
      </w:r>
      <w:r w:rsidRPr="002F3B34">
        <w:rPr>
          <w:rFonts w:ascii="Times New Roman" w:hAnsi="Times New Roman" w:cs="Times New Roman"/>
          <w:sz w:val="20"/>
          <w:szCs w:val="20"/>
        </w:rPr>
        <w:t xml:space="preserve">, and Extended Fund Facilities, which are usually medium- or long-term lending programmes aimed at overcoming </w:t>
      </w:r>
      <w:r w:rsidR="006D3D69" w:rsidRPr="006D3D69">
        <w:rPr>
          <w:rFonts w:ascii="Times New Roman" w:hAnsi="Times New Roman" w:cs="Times New Roman"/>
          <w:sz w:val="20"/>
          <w:szCs w:val="20"/>
        </w:rPr>
        <w:t xml:space="preserve">weaknesses in the national economy which may have precipitated or exacerbated the shock.   </w:t>
      </w:r>
    </w:p>
    <w:p w14:paraId="720A2E7E" w14:textId="77777777" w:rsidR="004F0B92" w:rsidRPr="00A84EB0" w:rsidRDefault="005B555D">
      <w:pPr>
        <w:rPr>
          <w:rFonts w:ascii="Times New Roman" w:hAnsi="Times New Roman"/>
          <w:sz w:val="20"/>
        </w:rPr>
      </w:pPr>
      <w:r w:rsidRPr="00A84EB0">
        <w:rPr>
          <w:rFonts w:ascii="Times New Roman" w:hAnsi="Times New Roman"/>
          <w:sz w:val="20"/>
        </w:rPr>
        <w:br w:type="page"/>
      </w:r>
    </w:p>
    <w:p w14:paraId="0BA67DE7" w14:textId="77777777" w:rsidR="002A175E" w:rsidRDefault="005B555D" w:rsidP="00A84EB0">
      <w:pPr>
        <w:rPr>
          <w:rFonts w:ascii="Times New Roman" w:hAnsi="Times New Roman" w:cs="Times New Roman"/>
          <w:szCs w:val="24"/>
        </w:rPr>
      </w:pPr>
      <w:r w:rsidRPr="002F3B34">
        <w:rPr>
          <w:rFonts w:ascii="Times New Roman" w:hAnsi="Times New Roman" w:cs="Times New Roman"/>
          <w:szCs w:val="24"/>
        </w:rPr>
        <w:t xml:space="preserve">Web Appendix 8: Economic and political determinants of the change in health spending between 2010-2011 among 27 EU countries, 1995-2011, </w:t>
      </w:r>
      <w:r w:rsidR="001317F7" w:rsidRPr="00A04F75">
        <w:rPr>
          <w:rFonts w:ascii="Times New Roman" w:hAnsi="Times New Roman" w:cs="Times New Roman"/>
          <w:szCs w:val="24"/>
        </w:rPr>
        <w:t xml:space="preserve">excluding </w:t>
      </w:r>
      <w:r w:rsidRPr="002F3B34">
        <w:rPr>
          <w:rFonts w:ascii="Times New Roman" w:hAnsi="Times New Roman" w:cs="Times New Roman"/>
          <w:szCs w:val="24"/>
        </w:rPr>
        <w:t>outliers (residuals &gt;2 standard deviations)</w:t>
      </w:r>
    </w:p>
    <w:tbl>
      <w:tblPr>
        <w:tblW w:w="5000" w:type="pct"/>
        <w:tblLayout w:type="fixed"/>
        <w:tblLook w:val="0000" w:firstRow="0" w:lastRow="0" w:firstColumn="0" w:lastColumn="0" w:noHBand="0" w:noVBand="0"/>
      </w:tblPr>
      <w:tblGrid>
        <w:gridCol w:w="3018"/>
        <w:gridCol w:w="1035"/>
        <w:gridCol w:w="1035"/>
        <w:gridCol w:w="1035"/>
        <w:gridCol w:w="1035"/>
        <w:gridCol w:w="1030"/>
        <w:gridCol w:w="1054"/>
      </w:tblGrid>
      <w:tr w:rsidR="002A175E" w:rsidRPr="002A175E" w14:paraId="24C0E6D0" w14:textId="77777777" w:rsidTr="002A175E">
        <w:tc>
          <w:tcPr>
            <w:tcW w:w="1633" w:type="pct"/>
            <w:tcBorders>
              <w:top w:val="single" w:sz="4" w:space="0" w:color="auto"/>
              <w:left w:val="nil"/>
              <w:right w:val="nil"/>
            </w:tcBorders>
          </w:tcPr>
          <w:p w14:paraId="0D38D093" w14:textId="77777777" w:rsidR="002A175E" w:rsidRPr="002A175E" w:rsidRDefault="002A175E" w:rsidP="002A175E">
            <w:pPr>
              <w:rPr>
                <w:rFonts w:ascii="Times New Roman" w:hAnsi="Times New Roman" w:cs="Times New Roman"/>
                <w:szCs w:val="24"/>
              </w:rPr>
            </w:pPr>
          </w:p>
        </w:tc>
        <w:tc>
          <w:tcPr>
            <w:tcW w:w="3367" w:type="pct"/>
            <w:gridSpan w:val="6"/>
            <w:tcBorders>
              <w:top w:val="single" w:sz="4" w:space="0" w:color="auto"/>
              <w:left w:val="nil"/>
              <w:right w:val="nil"/>
            </w:tcBorders>
          </w:tcPr>
          <w:p w14:paraId="57A66015"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Annual change in health spending</w:t>
            </w:r>
            <w:r w:rsidRPr="002A175E">
              <w:rPr>
                <w:rFonts w:ascii="Times New Roman" w:hAnsi="Times New Roman" w:cs="Times New Roman"/>
                <w:szCs w:val="24"/>
                <w:vertAlign w:val="superscript"/>
              </w:rPr>
              <w:t>†</w:t>
            </w:r>
          </w:p>
        </w:tc>
      </w:tr>
      <w:tr w:rsidR="002A175E" w:rsidRPr="002A175E" w14:paraId="542C8714" w14:textId="77777777" w:rsidTr="002A175E">
        <w:tc>
          <w:tcPr>
            <w:tcW w:w="1633" w:type="pct"/>
            <w:tcBorders>
              <w:left w:val="nil"/>
              <w:bottom w:val="nil"/>
              <w:right w:val="nil"/>
            </w:tcBorders>
          </w:tcPr>
          <w:p w14:paraId="17638398"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szCs w:val="24"/>
              </w:rPr>
              <w:t>Covariates</w:t>
            </w:r>
          </w:p>
        </w:tc>
        <w:tc>
          <w:tcPr>
            <w:tcW w:w="560" w:type="pct"/>
            <w:tcBorders>
              <w:left w:val="nil"/>
              <w:bottom w:val="nil"/>
              <w:right w:val="nil"/>
            </w:tcBorders>
          </w:tcPr>
          <w:p w14:paraId="5FBC2360"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(1)</w:t>
            </w:r>
          </w:p>
        </w:tc>
        <w:tc>
          <w:tcPr>
            <w:tcW w:w="560" w:type="pct"/>
            <w:tcBorders>
              <w:left w:val="nil"/>
              <w:bottom w:val="nil"/>
              <w:right w:val="nil"/>
            </w:tcBorders>
          </w:tcPr>
          <w:p w14:paraId="4FA60CD0"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w:t>
            </w:r>
          </w:p>
        </w:tc>
        <w:tc>
          <w:tcPr>
            <w:tcW w:w="560" w:type="pct"/>
            <w:tcBorders>
              <w:left w:val="nil"/>
              <w:bottom w:val="nil"/>
              <w:right w:val="nil"/>
            </w:tcBorders>
          </w:tcPr>
          <w:p w14:paraId="304679D4"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w:t>
            </w:r>
          </w:p>
        </w:tc>
        <w:tc>
          <w:tcPr>
            <w:tcW w:w="560" w:type="pct"/>
            <w:tcBorders>
              <w:left w:val="nil"/>
              <w:bottom w:val="nil"/>
              <w:right w:val="nil"/>
            </w:tcBorders>
          </w:tcPr>
          <w:p w14:paraId="1ABC93EF"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(4)</w:t>
            </w:r>
          </w:p>
        </w:tc>
        <w:tc>
          <w:tcPr>
            <w:tcW w:w="557" w:type="pct"/>
            <w:tcBorders>
              <w:left w:val="nil"/>
              <w:bottom w:val="nil"/>
              <w:right w:val="nil"/>
            </w:tcBorders>
          </w:tcPr>
          <w:p w14:paraId="4F83EA1A"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(5)</w:t>
            </w:r>
          </w:p>
        </w:tc>
        <w:tc>
          <w:tcPr>
            <w:tcW w:w="570" w:type="pct"/>
            <w:tcBorders>
              <w:left w:val="nil"/>
              <w:bottom w:val="nil"/>
              <w:right w:val="nil"/>
            </w:tcBorders>
          </w:tcPr>
          <w:p w14:paraId="12B8BCB8"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(6)</w:t>
            </w:r>
          </w:p>
        </w:tc>
      </w:tr>
      <w:tr w:rsidR="002A175E" w:rsidRPr="002A175E" w14:paraId="0CDD0310" w14:textId="77777777" w:rsidTr="002A175E">
        <w:tc>
          <w:tcPr>
            <w:tcW w:w="1633" w:type="pct"/>
            <w:vMerge w:val="restart"/>
            <w:tcBorders>
              <w:top w:val="single" w:sz="4" w:space="0" w:color="auto"/>
              <w:left w:val="nil"/>
              <w:right w:val="nil"/>
            </w:tcBorders>
          </w:tcPr>
          <w:p w14:paraId="4B46F8DC"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szCs w:val="24"/>
              </w:rPr>
              <w:t>$10 annual increase in GDP</w:t>
            </w:r>
            <w:r w:rsidRPr="002A175E">
              <w:rPr>
                <w:rFonts w:ascii="Times New Roman" w:hAnsi="Times New Roman" w:cs="Times New Roman"/>
                <w:szCs w:val="24"/>
                <w:vertAlign w:val="superscript"/>
              </w:rPr>
              <w:t>†</w:t>
            </w:r>
            <w:r w:rsidRPr="002A175E">
              <w:rPr>
                <w:rFonts w:ascii="Times New Roman" w:hAnsi="Times New Roman" w:cs="Times New Roman"/>
                <w:szCs w:val="24"/>
              </w:rPr>
              <w:t xml:space="preserve"> </w:t>
            </w:r>
          </w:p>
        </w:tc>
        <w:tc>
          <w:tcPr>
            <w:tcW w:w="560" w:type="pct"/>
            <w:tcBorders>
              <w:top w:val="single" w:sz="4" w:space="0" w:color="auto"/>
              <w:left w:val="nil"/>
              <w:bottom w:val="nil"/>
              <w:right w:val="nil"/>
            </w:tcBorders>
          </w:tcPr>
          <w:p w14:paraId="7CC5EDA7"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0.20</w:t>
            </w:r>
          </w:p>
        </w:tc>
        <w:tc>
          <w:tcPr>
            <w:tcW w:w="560" w:type="pct"/>
            <w:tcBorders>
              <w:top w:val="single" w:sz="4" w:space="0" w:color="auto"/>
              <w:left w:val="nil"/>
              <w:bottom w:val="nil"/>
              <w:right w:val="nil"/>
            </w:tcBorders>
          </w:tcPr>
          <w:p w14:paraId="503B28C9"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0.17</w:t>
            </w:r>
          </w:p>
        </w:tc>
        <w:tc>
          <w:tcPr>
            <w:tcW w:w="560" w:type="pct"/>
            <w:tcBorders>
              <w:top w:val="single" w:sz="4" w:space="0" w:color="auto"/>
              <w:left w:val="nil"/>
              <w:bottom w:val="nil"/>
              <w:right w:val="nil"/>
            </w:tcBorders>
          </w:tcPr>
          <w:p w14:paraId="0898907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0.17</w:t>
            </w:r>
          </w:p>
        </w:tc>
        <w:tc>
          <w:tcPr>
            <w:tcW w:w="560" w:type="pct"/>
            <w:tcBorders>
              <w:top w:val="single" w:sz="4" w:space="0" w:color="auto"/>
              <w:left w:val="nil"/>
              <w:bottom w:val="nil"/>
              <w:right w:val="nil"/>
            </w:tcBorders>
          </w:tcPr>
          <w:p w14:paraId="5FEA2EB1"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0.074</w:t>
            </w:r>
          </w:p>
        </w:tc>
        <w:tc>
          <w:tcPr>
            <w:tcW w:w="557" w:type="pct"/>
            <w:tcBorders>
              <w:top w:val="single" w:sz="4" w:space="0" w:color="auto"/>
              <w:left w:val="nil"/>
              <w:bottom w:val="nil"/>
              <w:right w:val="nil"/>
            </w:tcBorders>
          </w:tcPr>
          <w:p w14:paraId="360E2EDE"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0.056</w:t>
            </w:r>
          </w:p>
        </w:tc>
        <w:tc>
          <w:tcPr>
            <w:tcW w:w="570" w:type="pct"/>
            <w:tcBorders>
              <w:top w:val="single" w:sz="4" w:space="0" w:color="auto"/>
              <w:left w:val="nil"/>
              <w:bottom w:val="nil"/>
              <w:right w:val="nil"/>
            </w:tcBorders>
          </w:tcPr>
          <w:p w14:paraId="5928CA12"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0.054</w:t>
            </w:r>
          </w:p>
        </w:tc>
      </w:tr>
      <w:tr w:rsidR="002A175E" w:rsidRPr="002A175E" w14:paraId="50FF47A1" w14:textId="77777777" w:rsidTr="002A175E">
        <w:tc>
          <w:tcPr>
            <w:tcW w:w="1633" w:type="pct"/>
            <w:vMerge/>
            <w:tcBorders>
              <w:left w:val="nil"/>
              <w:right w:val="nil"/>
            </w:tcBorders>
          </w:tcPr>
          <w:p w14:paraId="15CB2D38"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2E927DDC"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(0.12)</w:t>
            </w:r>
          </w:p>
        </w:tc>
        <w:tc>
          <w:tcPr>
            <w:tcW w:w="560" w:type="pct"/>
            <w:tcBorders>
              <w:top w:val="nil"/>
              <w:left w:val="nil"/>
              <w:bottom w:val="nil"/>
              <w:right w:val="nil"/>
            </w:tcBorders>
          </w:tcPr>
          <w:p w14:paraId="44F32375"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(0.11)</w:t>
            </w:r>
          </w:p>
        </w:tc>
        <w:tc>
          <w:tcPr>
            <w:tcW w:w="560" w:type="pct"/>
            <w:tcBorders>
              <w:top w:val="nil"/>
              <w:left w:val="nil"/>
              <w:bottom w:val="nil"/>
              <w:right w:val="nil"/>
            </w:tcBorders>
          </w:tcPr>
          <w:p w14:paraId="3EA424BC"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(0.11)</w:t>
            </w:r>
          </w:p>
        </w:tc>
        <w:tc>
          <w:tcPr>
            <w:tcW w:w="560" w:type="pct"/>
            <w:tcBorders>
              <w:top w:val="nil"/>
              <w:left w:val="nil"/>
              <w:bottom w:val="nil"/>
              <w:right w:val="nil"/>
            </w:tcBorders>
          </w:tcPr>
          <w:p w14:paraId="3A2202FC"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(0.086)</w:t>
            </w:r>
          </w:p>
        </w:tc>
        <w:tc>
          <w:tcPr>
            <w:tcW w:w="557" w:type="pct"/>
            <w:tcBorders>
              <w:top w:val="nil"/>
              <w:left w:val="nil"/>
              <w:bottom w:val="nil"/>
              <w:right w:val="nil"/>
            </w:tcBorders>
          </w:tcPr>
          <w:p w14:paraId="45D94A59"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(0.082)</w:t>
            </w:r>
          </w:p>
        </w:tc>
        <w:tc>
          <w:tcPr>
            <w:tcW w:w="570" w:type="pct"/>
            <w:tcBorders>
              <w:top w:val="nil"/>
              <w:left w:val="nil"/>
              <w:bottom w:val="nil"/>
              <w:right w:val="nil"/>
            </w:tcBorders>
          </w:tcPr>
          <w:p w14:paraId="3C061924"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(0.076)</w:t>
            </w:r>
          </w:p>
        </w:tc>
      </w:tr>
      <w:tr w:rsidR="002A175E" w:rsidRPr="002A175E" w14:paraId="25F006EE" w14:textId="77777777" w:rsidTr="002A175E">
        <w:tc>
          <w:tcPr>
            <w:tcW w:w="1633" w:type="pct"/>
            <w:vMerge/>
            <w:tcBorders>
              <w:left w:val="nil"/>
              <w:bottom w:val="nil"/>
              <w:right w:val="nil"/>
            </w:tcBorders>
          </w:tcPr>
          <w:p w14:paraId="6C6BC540"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7D7B1950"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6871602"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376445FC"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CDDA6BF"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7E52AAD3"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44705EC2" w14:textId="77777777" w:rsidR="002A175E" w:rsidRPr="002A175E" w:rsidRDefault="002A175E" w:rsidP="00A84EB0">
            <w:pPr>
              <w:jc w:val="center"/>
              <w:rPr>
                <w:rFonts w:ascii="Times New Roman" w:hAnsi="Times New Roman" w:cs="Times New Roman"/>
                <w:szCs w:val="24"/>
              </w:rPr>
            </w:pPr>
          </w:p>
        </w:tc>
      </w:tr>
      <w:tr w:rsidR="002A175E" w:rsidRPr="002A175E" w14:paraId="0F7B3019" w14:textId="77777777" w:rsidTr="002A175E">
        <w:tc>
          <w:tcPr>
            <w:tcW w:w="1633" w:type="pct"/>
            <w:vMerge w:val="restart"/>
            <w:tcBorders>
              <w:top w:val="nil"/>
              <w:left w:val="nil"/>
              <w:right w:val="nil"/>
            </w:tcBorders>
          </w:tcPr>
          <w:p w14:paraId="044692C2"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szCs w:val="24"/>
              </w:rPr>
              <w:t>$100 annual increase in tax revenue</w:t>
            </w:r>
            <w:r w:rsidRPr="002A175E">
              <w:rPr>
                <w:rFonts w:ascii="Times New Roman" w:hAnsi="Times New Roman" w:cs="Times New Roman"/>
                <w:szCs w:val="24"/>
                <w:vertAlign w:val="superscript"/>
              </w:rPr>
              <w:t>†</w:t>
            </w:r>
          </w:p>
        </w:tc>
        <w:tc>
          <w:tcPr>
            <w:tcW w:w="560" w:type="pct"/>
            <w:tcBorders>
              <w:top w:val="nil"/>
              <w:left w:val="nil"/>
              <w:bottom w:val="nil"/>
              <w:right w:val="nil"/>
            </w:tcBorders>
          </w:tcPr>
          <w:p w14:paraId="2278DC18"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1A0405D"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3.82</w:t>
            </w:r>
            <w:r w:rsidRPr="002A175E">
              <w:rPr>
                <w:rFonts w:ascii="Times New Roman" w:hAnsi="Times New Roman" w:cs="Times New Roman"/>
                <w:szCs w:val="24"/>
                <w:vertAlign w:val="superscript"/>
              </w:rPr>
              <w:t>**</w:t>
            </w:r>
          </w:p>
        </w:tc>
        <w:tc>
          <w:tcPr>
            <w:tcW w:w="560" w:type="pct"/>
            <w:tcBorders>
              <w:top w:val="nil"/>
              <w:left w:val="nil"/>
              <w:bottom w:val="nil"/>
              <w:right w:val="nil"/>
            </w:tcBorders>
          </w:tcPr>
          <w:p w14:paraId="4BD1F9BD"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3.82</w:t>
            </w:r>
            <w:r w:rsidRPr="002A175E">
              <w:rPr>
                <w:rFonts w:ascii="Times New Roman" w:hAnsi="Times New Roman" w:cs="Times New Roman"/>
                <w:szCs w:val="24"/>
                <w:vertAlign w:val="superscript"/>
              </w:rPr>
              <w:t>**</w:t>
            </w:r>
          </w:p>
        </w:tc>
        <w:tc>
          <w:tcPr>
            <w:tcW w:w="560" w:type="pct"/>
            <w:tcBorders>
              <w:top w:val="nil"/>
              <w:left w:val="nil"/>
              <w:bottom w:val="nil"/>
              <w:right w:val="nil"/>
            </w:tcBorders>
          </w:tcPr>
          <w:p w14:paraId="5166AC37"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2.85</w:t>
            </w:r>
            <w:r w:rsidRPr="002A175E">
              <w:rPr>
                <w:rFonts w:ascii="Times New Roman" w:hAnsi="Times New Roman" w:cs="Times New Roman"/>
                <w:szCs w:val="24"/>
                <w:vertAlign w:val="superscript"/>
              </w:rPr>
              <w:t>**</w:t>
            </w:r>
          </w:p>
        </w:tc>
        <w:tc>
          <w:tcPr>
            <w:tcW w:w="557" w:type="pct"/>
            <w:tcBorders>
              <w:top w:val="nil"/>
              <w:left w:val="nil"/>
              <w:bottom w:val="nil"/>
              <w:right w:val="nil"/>
            </w:tcBorders>
          </w:tcPr>
          <w:p w14:paraId="6AE98AAD"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2.38</w:t>
            </w:r>
            <w:r w:rsidRPr="002A175E">
              <w:rPr>
                <w:rFonts w:ascii="Times New Roman" w:hAnsi="Times New Roman" w:cs="Times New Roman"/>
                <w:szCs w:val="24"/>
                <w:vertAlign w:val="superscript"/>
              </w:rPr>
              <w:t>**</w:t>
            </w:r>
          </w:p>
        </w:tc>
        <w:tc>
          <w:tcPr>
            <w:tcW w:w="570" w:type="pct"/>
            <w:tcBorders>
              <w:top w:val="nil"/>
              <w:left w:val="nil"/>
              <w:bottom w:val="nil"/>
              <w:right w:val="nil"/>
            </w:tcBorders>
          </w:tcPr>
          <w:p w14:paraId="1C7A00BE"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2.35</w:t>
            </w:r>
            <w:r w:rsidRPr="002A175E">
              <w:rPr>
                <w:rFonts w:ascii="Times New Roman" w:hAnsi="Times New Roman" w:cs="Times New Roman"/>
                <w:szCs w:val="24"/>
                <w:vertAlign w:val="superscript"/>
              </w:rPr>
              <w:t>**</w:t>
            </w:r>
          </w:p>
        </w:tc>
      </w:tr>
      <w:tr w:rsidR="002A175E" w:rsidRPr="002A175E" w14:paraId="21FBB72B" w14:textId="77777777" w:rsidTr="002A175E">
        <w:tc>
          <w:tcPr>
            <w:tcW w:w="1633" w:type="pct"/>
            <w:vMerge/>
            <w:tcBorders>
              <w:left w:val="nil"/>
              <w:bottom w:val="nil"/>
              <w:right w:val="nil"/>
            </w:tcBorders>
          </w:tcPr>
          <w:p w14:paraId="03F0F5F8"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4E18D820"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A2823D6"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(0.95)</w:t>
            </w:r>
          </w:p>
        </w:tc>
        <w:tc>
          <w:tcPr>
            <w:tcW w:w="560" w:type="pct"/>
            <w:tcBorders>
              <w:top w:val="nil"/>
              <w:left w:val="nil"/>
              <w:bottom w:val="nil"/>
              <w:right w:val="nil"/>
            </w:tcBorders>
          </w:tcPr>
          <w:p w14:paraId="60F384E8"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(0.93)</w:t>
            </w:r>
          </w:p>
        </w:tc>
        <w:tc>
          <w:tcPr>
            <w:tcW w:w="560" w:type="pct"/>
            <w:tcBorders>
              <w:top w:val="nil"/>
              <w:left w:val="nil"/>
              <w:bottom w:val="nil"/>
              <w:right w:val="nil"/>
            </w:tcBorders>
          </w:tcPr>
          <w:p w14:paraId="793EB30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(0.64)</w:t>
            </w:r>
          </w:p>
        </w:tc>
        <w:tc>
          <w:tcPr>
            <w:tcW w:w="557" w:type="pct"/>
            <w:tcBorders>
              <w:top w:val="nil"/>
              <w:left w:val="nil"/>
              <w:bottom w:val="nil"/>
              <w:right w:val="nil"/>
            </w:tcBorders>
          </w:tcPr>
          <w:p w14:paraId="75666828"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(0.66)</w:t>
            </w:r>
          </w:p>
        </w:tc>
        <w:tc>
          <w:tcPr>
            <w:tcW w:w="570" w:type="pct"/>
            <w:tcBorders>
              <w:top w:val="nil"/>
              <w:left w:val="nil"/>
              <w:bottom w:val="nil"/>
              <w:right w:val="nil"/>
            </w:tcBorders>
          </w:tcPr>
          <w:p w14:paraId="74B6C049"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(0.73)</w:t>
            </w:r>
          </w:p>
        </w:tc>
      </w:tr>
      <w:tr w:rsidR="002A175E" w:rsidRPr="002A175E" w14:paraId="1B3F5E91" w14:textId="77777777" w:rsidTr="002A175E">
        <w:tc>
          <w:tcPr>
            <w:tcW w:w="1633" w:type="pct"/>
            <w:tcBorders>
              <w:top w:val="nil"/>
              <w:left w:val="nil"/>
              <w:bottom w:val="nil"/>
              <w:right w:val="nil"/>
            </w:tcBorders>
          </w:tcPr>
          <w:p w14:paraId="50AEAFD5"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589C5598"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08C928C"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BDEAEAC"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8DFBD9A"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5A797600"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00B0D747" w14:textId="77777777" w:rsidR="002A175E" w:rsidRPr="002A175E" w:rsidRDefault="002A175E" w:rsidP="00A84EB0">
            <w:pPr>
              <w:jc w:val="center"/>
              <w:rPr>
                <w:rFonts w:ascii="Times New Roman" w:hAnsi="Times New Roman" w:cs="Times New Roman"/>
                <w:szCs w:val="24"/>
              </w:rPr>
            </w:pPr>
          </w:p>
        </w:tc>
      </w:tr>
      <w:tr w:rsidR="002A175E" w:rsidRPr="002A175E" w14:paraId="52F336F2" w14:textId="77777777" w:rsidTr="002A175E">
        <w:tc>
          <w:tcPr>
            <w:tcW w:w="1633" w:type="pct"/>
            <w:vMerge w:val="restart"/>
            <w:tcBorders>
              <w:top w:val="nil"/>
              <w:left w:val="nil"/>
              <w:right w:val="nil"/>
            </w:tcBorders>
          </w:tcPr>
          <w:p w14:paraId="691B94C0"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szCs w:val="24"/>
              </w:rPr>
              <w:t>Public debt as percentage of GDP in the previous year</w:t>
            </w:r>
          </w:p>
        </w:tc>
        <w:tc>
          <w:tcPr>
            <w:tcW w:w="560" w:type="pct"/>
            <w:tcBorders>
              <w:top w:val="nil"/>
              <w:left w:val="nil"/>
              <w:bottom w:val="nil"/>
              <w:right w:val="nil"/>
            </w:tcBorders>
          </w:tcPr>
          <w:p w14:paraId="6226784E"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8E235BA"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9342845"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-0.036</w:t>
            </w:r>
          </w:p>
        </w:tc>
        <w:tc>
          <w:tcPr>
            <w:tcW w:w="560" w:type="pct"/>
            <w:tcBorders>
              <w:top w:val="nil"/>
              <w:left w:val="nil"/>
              <w:bottom w:val="nil"/>
              <w:right w:val="nil"/>
            </w:tcBorders>
          </w:tcPr>
          <w:p w14:paraId="00F990BF"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-0.036</w:t>
            </w:r>
          </w:p>
        </w:tc>
        <w:tc>
          <w:tcPr>
            <w:tcW w:w="557" w:type="pct"/>
            <w:tcBorders>
              <w:top w:val="nil"/>
              <w:left w:val="nil"/>
              <w:bottom w:val="nil"/>
              <w:right w:val="nil"/>
            </w:tcBorders>
          </w:tcPr>
          <w:p w14:paraId="0132B347"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-0.12</w:t>
            </w:r>
          </w:p>
        </w:tc>
        <w:tc>
          <w:tcPr>
            <w:tcW w:w="570" w:type="pct"/>
            <w:tcBorders>
              <w:top w:val="nil"/>
              <w:left w:val="nil"/>
              <w:bottom w:val="nil"/>
              <w:right w:val="nil"/>
            </w:tcBorders>
          </w:tcPr>
          <w:p w14:paraId="11144DA4"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-0.11</w:t>
            </w:r>
          </w:p>
        </w:tc>
      </w:tr>
      <w:tr w:rsidR="002A175E" w:rsidRPr="002A175E" w14:paraId="7C820D52" w14:textId="77777777" w:rsidTr="002A175E">
        <w:tc>
          <w:tcPr>
            <w:tcW w:w="1633" w:type="pct"/>
            <w:vMerge/>
            <w:tcBorders>
              <w:left w:val="nil"/>
              <w:bottom w:val="nil"/>
              <w:right w:val="nil"/>
            </w:tcBorders>
          </w:tcPr>
          <w:p w14:paraId="578FD377"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43B073D1"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357EEDE"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3F73A19A"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(0.21)</w:t>
            </w:r>
          </w:p>
        </w:tc>
        <w:tc>
          <w:tcPr>
            <w:tcW w:w="560" w:type="pct"/>
            <w:tcBorders>
              <w:top w:val="nil"/>
              <w:left w:val="nil"/>
              <w:bottom w:val="nil"/>
              <w:right w:val="nil"/>
            </w:tcBorders>
          </w:tcPr>
          <w:p w14:paraId="520B5A7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(0.20)</w:t>
            </w:r>
          </w:p>
        </w:tc>
        <w:tc>
          <w:tcPr>
            <w:tcW w:w="557" w:type="pct"/>
            <w:tcBorders>
              <w:top w:val="nil"/>
              <w:left w:val="nil"/>
              <w:bottom w:val="nil"/>
              <w:right w:val="nil"/>
            </w:tcBorders>
          </w:tcPr>
          <w:p w14:paraId="1899CEE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(0.21)</w:t>
            </w:r>
          </w:p>
        </w:tc>
        <w:tc>
          <w:tcPr>
            <w:tcW w:w="570" w:type="pct"/>
            <w:tcBorders>
              <w:top w:val="nil"/>
              <w:left w:val="nil"/>
              <w:bottom w:val="nil"/>
              <w:right w:val="nil"/>
            </w:tcBorders>
          </w:tcPr>
          <w:p w14:paraId="5FA29D86"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(0.23)</w:t>
            </w:r>
          </w:p>
        </w:tc>
      </w:tr>
      <w:tr w:rsidR="002A175E" w:rsidRPr="002A175E" w14:paraId="398A9E64" w14:textId="77777777" w:rsidTr="002A175E">
        <w:tc>
          <w:tcPr>
            <w:tcW w:w="1633" w:type="pct"/>
            <w:tcBorders>
              <w:top w:val="nil"/>
              <w:left w:val="nil"/>
              <w:bottom w:val="nil"/>
              <w:right w:val="nil"/>
            </w:tcBorders>
          </w:tcPr>
          <w:p w14:paraId="2445F55B"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2AE2738F"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C780413"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33411F8D"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464251C"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70F0888C"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56B359D8" w14:textId="77777777" w:rsidR="002A175E" w:rsidRPr="002A175E" w:rsidRDefault="002A175E" w:rsidP="00A84EB0">
            <w:pPr>
              <w:jc w:val="center"/>
              <w:rPr>
                <w:rFonts w:ascii="Times New Roman" w:hAnsi="Times New Roman" w:cs="Times New Roman"/>
                <w:szCs w:val="24"/>
              </w:rPr>
            </w:pPr>
          </w:p>
        </w:tc>
      </w:tr>
      <w:tr w:rsidR="002A175E" w:rsidRPr="002A175E" w14:paraId="462BA8AA" w14:textId="77777777" w:rsidTr="002A175E">
        <w:tc>
          <w:tcPr>
            <w:tcW w:w="1633" w:type="pct"/>
            <w:vMerge w:val="restart"/>
            <w:tcBorders>
              <w:top w:val="nil"/>
              <w:left w:val="nil"/>
              <w:right w:val="nil"/>
            </w:tcBorders>
          </w:tcPr>
          <w:p w14:paraId="15EB43E3"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szCs w:val="24"/>
              </w:rPr>
              <w:t>Implemented austerity in current year</w:t>
            </w:r>
          </w:p>
        </w:tc>
        <w:tc>
          <w:tcPr>
            <w:tcW w:w="560" w:type="pct"/>
            <w:tcBorders>
              <w:top w:val="nil"/>
              <w:left w:val="nil"/>
              <w:bottom w:val="nil"/>
              <w:right w:val="nil"/>
            </w:tcBorders>
          </w:tcPr>
          <w:p w14:paraId="7D9821F8"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505C2460"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9EC4552"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82C61CF"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-66.6</w:t>
            </w:r>
            <w:r w:rsidRPr="002A175E">
              <w:rPr>
                <w:rFonts w:ascii="Times New Roman" w:hAnsi="Times New Roman" w:cs="Times New Roman"/>
                <w:szCs w:val="24"/>
                <w:vertAlign w:val="superscript"/>
              </w:rPr>
              <w:t>**</w:t>
            </w:r>
          </w:p>
        </w:tc>
        <w:tc>
          <w:tcPr>
            <w:tcW w:w="557" w:type="pct"/>
            <w:tcBorders>
              <w:top w:val="nil"/>
              <w:left w:val="nil"/>
              <w:bottom w:val="nil"/>
              <w:right w:val="nil"/>
            </w:tcBorders>
          </w:tcPr>
          <w:p w14:paraId="59B1285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-64.0</w:t>
            </w:r>
            <w:r w:rsidRPr="002A175E">
              <w:rPr>
                <w:rFonts w:ascii="Times New Roman" w:hAnsi="Times New Roman" w:cs="Times New Roman"/>
                <w:szCs w:val="24"/>
                <w:vertAlign w:val="superscript"/>
              </w:rPr>
              <w:t>**</w:t>
            </w:r>
          </w:p>
        </w:tc>
        <w:tc>
          <w:tcPr>
            <w:tcW w:w="570" w:type="pct"/>
            <w:tcBorders>
              <w:top w:val="nil"/>
              <w:left w:val="nil"/>
              <w:bottom w:val="nil"/>
              <w:right w:val="nil"/>
            </w:tcBorders>
          </w:tcPr>
          <w:p w14:paraId="7C64E82B"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-64.2</w:t>
            </w:r>
            <w:r w:rsidRPr="002A175E">
              <w:rPr>
                <w:rFonts w:ascii="Times New Roman" w:hAnsi="Times New Roman" w:cs="Times New Roman"/>
                <w:szCs w:val="24"/>
                <w:vertAlign w:val="superscript"/>
              </w:rPr>
              <w:t>**</w:t>
            </w:r>
          </w:p>
        </w:tc>
      </w:tr>
      <w:tr w:rsidR="002A175E" w:rsidRPr="002A175E" w14:paraId="66B57444" w14:textId="77777777" w:rsidTr="002A175E">
        <w:tc>
          <w:tcPr>
            <w:tcW w:w="1633" w:type="pct"/>
            <w:vMerge/>
            <w:tcBorders>
              <w:left w:val="nil"/>
              <w:bottom w:val="nil"/>
              <w:right w:val="nil"/>
            </w:tcBorders>
          </w:tcPr>
          <w:p w14:paraId="13F26318"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54D04152"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5466CA11"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662E1DE"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A7FC68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(12.1)</w:t>
            </w:r>
          </w:p>
        </w:tc>
        <w:tc>
          <w:tcPr>
            <w:tcW w:w="557" w:type="pct"/>
            <w:tcBorders>
              <w:top w:val="nil"/>
              <w:left w:val="nil"/>
              <w:bottom w:val="nil"/>
              <w:right w:val="nil"/>
            </w:tcBorders>
          </w:tcPr>
          <w:p w14:paraId="32EF404B"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(12.2)</w:t>
            </w:r>
          </w:p>
        </w:tc>
        <w:tc>
          <w:tcPr>
            <w:tcW w:w="570" w:type="pct"/>
            <w:tcBorders>
              <w:top w:val="nil"/>
              <w:left w:val="nil"/>
              <w:bottom w:val="nil"/>
              <w:right w:val="nil"/>
            </w:tcBorders>
          </w:tcPr>
          <w:p w14:paraId="1F8259A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(12.0)</w:t>
            </w:r>
          </w:p>
        </w:tc>
      </w:tr>
      <w:tr w:rsidR="002A175E" w:rsidRPr="002A175E" w14:paraId="2C1B1295" w14:textId="77777777" w:rsidTr="002A175E">
        <w:tc>
          <w:tcPr>
            <w:tcW w:w="1633" w:type="pct"/>
            <w:tcBorders>
              <w:top w:val="nil"/>
              <w:left w:val="nil"/>
              <w:bottom w:val="nil"/>
              <w:right w:val="nil"/>
            </w:tcBorders>
          </w:tcPr>
          <w:p w14:paraId="5A3A3B6E"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0706C5ED"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9E3DC35"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5839F31"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57EEEA5"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31961399"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657A9E62" w14:textId="77777777" w:rsidR="002A175E" w:rsidRPr="002A175E" w:rsidRDefault="002A175E" w:rsidP="00A84EB0">
            <w:pPr>
              <w:jc w:val="center"/>
              <w:rPr>
                <w:rFonts w:ascii="Times New Roman" w:hAnsi="Times New Roman" w:cs="Times New Roman"/>
                <w:szCs w:val="24"/>
              </w:rPr>
            </w:pPr>
          </w:p>
        </w:tc>
      </w:tr>
      <w:tr w:rsidR="002A175E" w:rsidRPr="002A175E" w14:paraId="747CB1AB" w14:textId="77777777" w:rsidTr="002A175E">
        <w:tc>
          <w:tcPr>
            <w:tcW w:w="1633" w:type="pct"/>
            <w:vMerge w:val="restart"/>
            <w:tcBorders>
              <w:top w:val="nil"/>
              <w:left w:val="nil"/>
              <w:right w:val="nil"/>
            </w:tcBorders>
          </w:tcPr>
          <w:p w14:paraId="25A4B712"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szCs w:val="24"/>
              </w:rPr>
              <w:t xml:space="preserve">IMF bailout active in current year </w:t>
            </w:r>
          </w:p>
        </w:tc>
        <w:tc>
          <w:tcPr>
            <w:tcW w:w="560" w:type="pct"/>
            <w:tcBorders>
              <w:top w:val="nil"/>
              <w:left w:val="nil"/>
              <w:bottom w:val="nil"/>
              <w:right w:val="nil"/>
            </w:tcBorders>
          </w:tcPr>
          <w:p w14:paraId="3B0FF851"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EB61FE7"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5BF2D102"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D492FBE"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4BB942B9"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-41.9</w:t>
            </w:r>
            <w:r w:rsidRPr="002A175E">
              <w:rPr>
                <w:rFonts w:ascii="Times New Roman" w:hAnsi="Times New Roman" w:cs="Times New Roman"/>
                <w:szCs w:val="24"/>
                <w:vertAlign w:val="superscript"/>
              </w:rPr>
              <w:t>*</w:t>
            </w:r>
          </w:p>
        </w:tc>
        <w:tc>
          <w:tcPr>
            <w:tcW w:w="570" w:type="pct"/>
            <w:tcBorders>
              <w:top w:val="nil"/>
              <w:left w:val="nil"/>
              <w:bottom w:val="nil"/>
              <w:right w:val="nil"/>
            </w:tcBorders>
          </w:tcPr>
          <w:p w14:paraId="1D417D9D"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-41.7</w:t>
            </w:r>
            <w:r w:rsidRPr="002A175E">
              <w:rPr>
                <w:rFonts w:ascii="Times New Roman" w:hAnsi="Times New Roman" w:cs="Times New Roman"/>
                <w:szCs w:val="24"/>
                <w:vertAlign w:val="superscript"/>
              </w:rPr>
              <w:t>*</w:t>
            </w:r>
          </w:p>
        </w:tc>
      </w:tr>
      <w:tr w:rsidR="002A175E" w:rsidRPr="002A175E" w14:paraId="4FFFCCA9" w14:textId="77777777" w:rsidTr="002A175E">
        <w:tc>
          <w:tcPr>
            <w:tcW w:w="1633" w:type="pct"/>
            <w:vMerge/>
            <w:tcBorders>
              <w:left w:val="nil"/>
              <w:bottom w:val="nil"/>
              <w:right w:val="nil"/>
            </w:tcBorders>
          </w:tcPr>
          <w:p w14:paraId="6EB8F1D1"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4821D324"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54ADDB6D"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CC7CC26"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7EFA8B2"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102774CE"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(17.0)</w:t>
            </w:r>
          </w:p>
        </w:tc>
        <w:tc>
          <w:tcPr>
            <w:tcW w:w="570" w:type="pct"/>
            <w:tcBorders>
              <w:top w:val="nil"/>
              <w:left w:val="nil"/>
              <w:bottom w:val="nil"/>
              <w:right w:val="nil"/>
            </w:tcBorders>
          </w:tcPr>
          <w:p w14:paraId="54B8C8E5"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(18.3)</w:t>
            </w:r>
          </w:p>
        </w:tc>
      </w:tr>
      <w:tr w:rsidR="002A175E" w:rsidRPr="002A175E" w14:paraId="4EBD6E2B" w14:textId="77777777" w:rsidTr="002A175E">
        <w:tc>
          <w:tcPr>
            <w:tcW w:w="1633" w:type="pct"/>
            <w:tcBorders>
              <w:top w:val="nil"/>
              <w:left w:val="nil"/>
              <w:bottom w:val="nil"/>
              <w:right w:val="nil"/>
            </w:tcBorders>
          </w:tcPr>
          <w:p w14:paraId="235B5693"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0214FD74"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A4BF985"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FB04DDE"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39A81371"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7FFEAF10"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688EF0EC" w14:textId="77777777" w:rsidR="002A175E" w:rsidRPr="002A175E" w:rsidRDefault="002A175E" w:rsidP="00A84EB0">
            <w:pPr>
              <w:jc w:val="center"/>
              <w:rPr>
                <w:rFonts w:ascii="Times New Roman" w:hAnsi="Times New Roman" w:cs="Times New Roman"/>
                <w:szCs w:val="24"/>
              </w:rPr>
            </w:pPr>
          </w:p>
        </w:tc>
      </w:tr>
      <w:tr w:rsidR="002A175E" w:rsidRPr="002A175E" w14:paraId="7199CDF4" w14:textId="77777777" w:rsidTr="002A175E">
        <w:tc>
          <w:tcPr>
            <w:tcW w:w="1633" w:type="pct"/>
            <w:tcBorders>
              <w:top w:val="nil"/>
              <w:left w:val="nil"/>
              <w:bottom w:val="nil"/>
              <w:right w:val="nil"/>
            </w:tcBorders>
          </w:tcPr>
          <w:p w14:paraId="543838B1"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szCs w:val="24"/>
              </w:rPr>
              <w:t>Left governing party˚</w:t>
            </w:r>
          </w:p>
        </w:tc>
        <w:tc>
          <w:tcPr>
            <w:tcW w:w="560" w:type="pct"/>
            <w:tcBorders>
              <w:top w:val="nil"/>
              <w:left w:val="nil"/>
              <w:bottom w:val="nil"/>
              <w:right w:val="nil"/>
            </w:tcBorders>
          </w:tcPr>
          <w:p w14:paraId="0BE3CCAC"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3D2FAB51"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8CC0B2E"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6D5CBDC"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02FAA333"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64537AC5"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-3.03</w:t>
            </w:r>
          </w:p>
        </w:tc>
      </w:tr>
      <w:tr w:rsidR="002A175E" w:rsidRPr="002A175E" w14:paraId="0EC2F782" w14:textId="77777777" w:rsidTr="002A175E">
        <w:tc>
          <w:tcPr>
            <w:tcW w:w="1633" w:type="pct"/>
            <w:tcBorders>
              <w:top w:val="nil"/>
              <w:left w:val="nil"/>
              <w:bottom w:val="nil"/>
              <w:right w:val="nil"/>
            </w:tcBorders>
          </w:tcPr>
          <w:p w14:paraId="347EFA2F"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0650B053"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0890C0F"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4A0863A"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D4A0C54"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3CC7C144"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564E23DF"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(16.4)</w:t>
            </w:r>
          </w:p>
        </w:tc>
      </w:tr>
      <w:tr w:rsidR="002A175E" w:rsidRPr="002A175E" w14:paraId="57A06E93" w14:textId="77777777" w:rsidTr="002A175E">
        <w:tc>
          <w:tcPr>
            <w:tcW w:w="1633" w:type="pct"/>
            <w:tcBorders>
              <w:top w:val="nil"/>
              <w:left w:val="nil"/>
              <w:bottom w:val="nil"/>
              <w:right w:val="nil"/>
            </w:tcBorders>
          </w:tcPr>
          <w:p w14:paraId="689DF35E"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0E8E3F62"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2224B1A"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8A7D645"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59D40D41"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370D4EA8"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148F46EB" w14:textId="77777777" w:rsidR="002A175E" w:rsidRPr="002A175E" w:rsidRDefault="002A175E" w:rsidP="00A84EB0">
            <w:pPr>
              <w:jc w:val="center"/>
              <w:rPr>
                <w:rFonts w:ascii="Times New Roman" w:hAnsi="Times New Roman" w:cs="Times New Roman"/>
                <w:szCs w:val="24"/>
              </w:rPr>
            </w:pPr>
          </w:p>
        </w:tc>
      </w:tr>
      <w:tr w:rsidR="002A175E" w:rsidRPr="002A175E" w14:paraId="29150D36" w14:textId="77777777" w:rsidTr="002A175E">
        <w:tc>
          <w:tcPr>
            <w:tcW w:w="1633" w:type="pct"/>
            <w:tcBorders>
              <w:top w:val="nil"/>
              <w:left w:val="nil"/>
              <w:bottom w:val="nil"/>
              <w:right w:val="nil"/>
            </w:tcBorders>
          </w:tcPr>
          <w:p w14:paraId="40BEE900"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szCs w:val="24"/>
              </w:rPr>
              <w:t>Right governing party˚</w:t>
            </w:r>
          </w:p>
        </w:tc>
        <w:tc>
          <w:tcPr>
            <w:tcW w:w="560" w:type="pct"/>
            <w:tcBorders>
              <w:top w:val="nil"/>
              <w:left w:val="nil"/>
              <w:bottom w:val="nil"/>
              <w:right w:val="nil"/>
            </w:tcBorders>
          </w:tcPr>
          <w:p w14:paraId="76FD788B"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5065AA3"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FD02005"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3E691C95"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617A65E1"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2FA35C34"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-2.97</w:t>
            </w:r>
          </w:p>
        </w:tc>
      </w:tr>
      <w:tr w:rsidR="002A175E" w:rsidRPr="002A175E" w14:paraId="0762A147" w14:textId="77777777" w:rsidTr="002A175E">
        <w:tc>
          <w:tcPr>
            <w:tcW w:w="1633" w:type="pct"/>
            <w:tcBorders>
              <w:top w:val="nil"/>
              <w:left w:val="nil"/>
              <w:bottom w:val="nil"/>
              <w:right w:val="nil"/>
            </w:tcBorders>
          </w:tcPr>
          <w:p w14:paraId="27A88DB0"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08504DD7"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BC6EDBA"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99AAA05"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D797D85"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68D1533F"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4173828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(17.5)</w:t>
            </w:r>
          </w:p>
        </w:tc>
      </w:tr>
      <w:tr w:rsidR="002A175E" w:rsidRPr="002A175E" w14:paraId="27D436FD" w14:textId="77777777" w:rsidTr="002A175E">
        <w:tc>
          <w:tcPr>
            <w:tcW w:w="1633" w:type="pct"/>
            <w:tcBorders>
              <w:top w:val="nil"/>
              <w:left w:val="nil"/>
              <w:bottom w:val="nil"/>
              <w:right w:val="nil"/>
            </w:tcBorders>
          </w:tcPr>
          <w:p w14:paraId="6DD1D16B" w14:textId="77777777" w:rsidR="002A175E" w:rsidRPr="002A175E" w:rsidRDefault="002A175E" w:rsidP="002A175E">
            <w:pPr>
              <w:rPr>
                <w:rFonts w:ascii="Times New Roman" w:hAnsi="Times New Roman" w:cs="Times New Roman"/>
                <w:szCs w:val="24"/>
              </w:rPr>
            </w:pPr>
          </w:p>
        </w:tc>
        <w:tc>
          <w:tcPr>
            <w:tcW w:w="560" w:type="pct"/>
            <w:tcBorders>
              <w:top w:val="nil"/>
              <w:left w:val="nil"/>
              <w:bottom w:val="nil"/>
              <w:right w:val="nil"/>
            </w:tcBorders>
          </w:tcPr>
          <w:p w14:paraId="255BF1A8"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53527034"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CA7613F" w14:textId="77777777" w:rsidR="002A175E" w:rsidRPr="002A175E"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5C4A6602" w14:textId="77777777" w:rsidR="002A175E" w:rsidRPr="002A175E"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2D383671" w14:textId="77777777" w:rsidR="002A175E" w:rsidRPr="002A175E"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608D4D1D" w14:textId="77777777" w:rsidR="002A175E" w:rsidRPr="002A175E" w:rsidRDefault="002A175E" w:rsidP="00A84EB0">
            <w:pPr>
              <w:jc w:val="center"/>
              <w:rPr>
                <w:rFonts w:ascii="Times New Roman" w:hAnsi="Times New Roman" w:cs="Times New Roman"/>
                <w:szCs w:val="24"/>
              </w:rPr>
            </w:pPr>
          </w:p>
        </w:tc>
      </w:tr>
      <w:tr w:rsidR="002A175E" w:rsidRPr="002A175E" w14:paraId="73B22E76" w14:textId="77777777" w:rsidTr="002A175E">
        <w:tc>
          <w:tcPr>
            <w:tcW w:w="1633" w:type="pct"/>
            <w:tcBorders>
              <w:top w:val="single" w:sz="4" w:space="0" w:color="auto"/>
              <w:left w:val="nil"/>
              <w:right w:val="nil"/>
            </w:tcBorders>
          </w:tcPr>
          <w:p w14:paraId="134E5F81"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szCs w:val="24"/>
              </w:rPr>
              <w:t>Country-years</w:t>
            </w:r>
          </w:p>
        </w:tc>
        <w:tc>
          <w:tcPr>
            <w:tcW w:w="560" w:type="pct"/>
            <w:tcBorders>
              <w:top w:val="single" w:sz="4" w:space="0" w:color="auto"/>
              <w:left w:val="nil"/>
              <w:right w:val="nil"/>
            </w:tcBorders>
          </w:tcPr>
          <w:p w14:paraId="40B2984D"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331</w:t>
            </w:r>
          </w:p>
        </w:tc>
        <w:tc>
          <w:tcPr>
            <w:tcW w:w="560" w:type="pct"/>
            <w:tcBorders>
              <w:top w:val="single" w:sz="4" w:space="0" w:color="auto"/>
              <w:left w:val="nil"/>
              <w:right w:val="nil"/>
            </w:tcBorders>
          </w:tcPr>
          <w:p w14:paraId="1E89A3E8"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331</w:t>
            </w:r>
          </w:p>
        </w:tc>
        <w:tc>
          <w:tcPr>
            <w:tcW w:w="560" w:type="pct"/>
            <w:tcBorders>
              <w:top w:val="single" w:sz="4" w:space="0" w:color="auto"/>
              <w:left w:val="nil"/>
              <w:right w:val="nil"/>
            </w:tcBorders>
          </w:tcPr>
          <w:p w14:paraId="2161BE45"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331</w:t>
            </w:r>
          </w:p>
        </w:tc>
        <w:tc>
          <w:tcPr>
            <w:tcW w:w="560" w:type="pct"/>
            <w:tcBorders>
              <w:top w:val="single" w:sz="4" w:space="0" w:color="auto"/>
              <w:left w:val="nil"/>
              <w:right w:val="nil"/>
            </w:tcBorders>
          </w:tcPr>
          <w:p w14:paraId="3DCD1F61"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331</w:t>
            </w:r>
          </w:p>
        </w:tc>
        <w:tc>
          <w:tcPr>
            <w:tcW w:w="557" w:type="pct"/>
            <w:tcBorders>
              <w:top w:val="single" w:sz="4" w:space="0" w:color="auto"/>
              <w:left w:val="nil"/>
              <w:right w:val="nil"/>
            </w:tcBorders>
          </w:tcPr>
          <w:p w14:paraId="01399C91"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331</w:t>
            </w:r>
          </w:p>
        </w:tc>
        <w:tc>
          <w:tcPr>
            <w:tcW w:w="570" w:type="pct"/>
            <w:tcBorders>
              <w:top w:val="single" w:sz="4" w:space="0" w:color="auto"/>
              <w:left w:val="nil"/>
              <w:right w:val="nil"/>
            </w:tcBorders>
          </w:tcPr>
          <w:p w14:paraId="1A380F5D"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331</w:t>
            </w:r>
          </w:p>
        </w:tc>
      </w:tr>
      <w:tr w:rsidR="002A175E" w:rsidRPr="002A175E" w14:paraId="092B9D23" w14:textId="77777777" w:rsidTr="002A175E">
        <w:tc>
          <w:tcPr>
            <w:tcW w:w="1633" w:type="pct"/>
            <w:tcBorders>
              <w:top w:val="nil"/>
              <w:left w:val="nil"/>
              <w:right w:val="nil"/>
            </w:tcBorders>
          </w:tcPr>
          <w:p w14:paraId="15AD5BBE" w14:textId="77777777" w:rsidR="002A175E" w:rsidRPr="002A175E" w:rsidRDefault="002A175E" w:rsidP="002A175E">
            <w:pPr>
              <w:rPr>
                <w:rFonts w:ascii="Times New Roman" w:hAnsi="Times New Roman" w:cs="Times New Roman"/>
                <w:iCs/>
                <w:szCs w:val="24"/>
              </w:rPr>
            </w:pPr>
            <w:r w:rsidRPr="002A175E">
              <w:rPr>
                <w:rFonts w:ascii="Times New Roman" w:hAnsi="Times New Roman" w:cs="Times New Roman"/>
                <w:iCs/>
                <w:szCs w:val="24"/>
              </w:rPr>
              <w:t>Countries</w:t>
            </w:r>
          </w:p>
        </w:tc>
        <w:tc>
          <w:tcPr>
            <w:tcW w:w="560" w:type="pct"/>
            <w:tcBorders>
              <w:top w:val="nil"/>
              <w:left w:val="nil"/>
              <w:right w:val="nil"/>
            </w:tcBorders>
          </w:tcPr>
          <w:p w14:paraId="36A5556D"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27</w:t>
            </w:r>
          </w:p>
        </w:tc>
        <w:tc>
          <w:tcPr>
            <w:tcW w:w="560" w:type="pct"/>
            <w:tcBorders>
              <w:top w:val="nil"/>
              <w:left w:val="nil"/>
              <w:right w:val="nil"/>
            </w:tcBorders>
          </w:tcPr>
          <w:p w14:paraId="7FCB026C"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27</w:t>
            </w:r>
          </w:p>
        </w:tc>
        <w:tc>
          <w:tcPr>
            <w:tcW w:w="560" w:type="pct"/>
            <w:tcBorders>
              <w:top w:val="nil"/>
              <w:left w:val="nil"/>
              <w:right w:val="nil"/>
            </w:tcBorders>
          </w:tcPr>
          <w:p w14:paraId="2A28E28C"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27</w:t>
            </w:r>
          </w:p>
        </w:tc>
        <w:tc>
          <w:tcPr>
            <w:tcW w:w="560" w:type="pct"/>
            <w:tcBorders>
              <w:top w:val="nil"/>
              <w:left w:val="nil"/>
              <w:right w:val="nil"/>
            </w:tcBorders>
          </w:tcPr>
          <w:p w14:paraId="7D87CB54"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27</w:t>
            </w:r>
          </w:p>
        </w:tc>
        <w:tc>
          <w:tcPr>
            <w:tcW w:w="557" w:type="pct"/>
            <w:tcBorders>
              <w:top w:val="nil"/>
              <w:left w:val="nil"/>
              <w:right w:val="nil"/>
            </w:tcBorders>
          </w:tcPr>
          <w:p w14:paraId="5D9057BD"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27</w:t>
            </w:r>
          </w:p>
        </w:tc>
        <w:tc>
          <w:tcPr>
            <w:tcW w:w="570" w:type="pct"/>
            <w:tcBorders>
              <w:top w:val="nil"/>
              <w:left w:val="nil"/>
              <w:right w:val="nil"/>
            </w:tcBorders>
          </w:tcPr>
          <w:p w14:paraId="0582E22D"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27</w:t>
            </w:r>
          </w:p>
        </w:tc>
      </w:tr>
      <w:tr w:rsidR="002A175E" w:rsidRPr="002A175E" w14:paraId="1596176D" w14:textId="77777777" w:rsidTr="002A175E">
        <w:tc>
          <w:tcPr>
            <w:tcW w:w="1633" w:type="pct"/>
            <w:tcBorders>
              <w:left w:val="nil"/>
              <w:bottom w:val="single" w:sz="4" w:space="0" w:color="auto"/>
              <w:right w:val="nil"/>
            </w:tcBorders>
          </w:tcPr>
          <w:p w14:paraId="6937F173" w14:textId="77777777" w:rsidR="002A175E" w:rsidRPr="002A175E" w:rsidRDefault="002A175E" w:rsidP="002A175E">
            <w:pPr>
              <w:rPr>
                <w:rFonts w:ascii="Times New Roman" w:hAnsi="Times New Roman" w:cs="Times New Roman"/>
                <w:szCs w:val="24"/>
              </w:rPr>
            </w:pPr>
            <w:r w:rsidRPr="002A175E">
              <w:rPr>
                <w:rFonts w:ascii="Times New Roman" w:hAnsi="Times New Roman" w:cs="Times New Roman"/>
                <w:i/>
                <w:iCs/>
                <w:szCs w:val="24"/>
              </w:rPr>
              <w:t>R</w:t>
            </w:r>
            <w:r w:rsidRPr="002A175E">
              <w:rPr>
                <w:rFonts w:ascii="Times New Roman" w:hAnsi="Times New Roman" w:cs="Times New Roman"/>
                <w:szCs w:val="24"/>
                <w:vertAlign w:val="superscript"/>
              </w:rPr>
              <w:t>2</w:t>
            </w:r>
          </w:p>
        </w:tc>
        <w:tc>
          <w:tcPr>
            <w:tcW w:w="560" w:type="pct"/>
            <w:tcBorders>
              <w:left w:val="nil"/>
              <w:bottom w:val="single" w:sz="4" w:space="0" w:color="auto"/>
              <w:right w:val="nil"/>
            </w:tcBorders>
          </w:tcPr>
          <w:p w14:paraId="2236A94A"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0.059</w:t>
            </w:r>
          </w:p>
        </w:tc>
        <w:tc>
          <w:tcPr>
            <w:tcW w:w="560" w:type="pct"/>
            <w:tcBorders>
              <w:left w:val="nil"/>
              <w:bottom w:val="single" w:sz="4" w:space="0" w:color="auto"/>
              <w:right w:val="nil"/>
            </w:tcBorders>
          </w:tcPr>
          <w:p w14:paraId="26092D90"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0.12</w:t>
            </w:r>
          </w:p>
        </w:tc>
        <w:tc>
          <w:tcPr>
            <w:tcW w:w="560" w:type="pct"/>
            <w:tcBorders>
              <w:left w:val="nil"/>
              <w:bottom w:val="single" w:sz="4" w:space="0" w:color="auto"/>
              <w:right w:val="nil"/>
            </w:tcBorders>
          </w:tcPr>
          <w:p w14:paraId="4925B13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0.12</w:t>
            </w:r>
          </w:p>
        </w:tc>
        <w:tc>
          <w:tcPr>
            <w:tcW w:w="560" w:type="pct"/>
            <w:tcBorders>
              <w:left w:val="nil"/>
              <w:bottom w:val="single" w:sz="4" w:space="0" w:color="auto"/>
              <w:right w:val="nil"/>
            </w:tcBorders>
          </w:tcPr>
          <w:p w14:paraId="460BBABB"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0.26</w:t>
            </w:r>
          </w:p>
        </w:tc>
        <w:tc>
          <w:tcPr>
            <w:tcW w:w="557" w:type="pct"/>
            <w:tcBorders>
              <w:left w:val="nil"/>
              <w:bottom w:val="single" w:sz="4" w:space="0" w:color="auto"/>
              <w:right w:val="nil"/>
            </w:tcBorders>
          </w:tcPr>
          <w:p w14:paraId="4B078388"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0.28</w:t>
            </w:r>
          </w:p>
        </w:tc>
        <w:tc>
          <w:tcPr>
            <w:tcW w:w="570" w:type="pct"/>
            <w:tcBorders>
              <w:left w:val="nil"/>
              <w:bottom w:val="single" w:sz="4" w:space="0" w:color="auto"/>
              <w:right w:val="nil"/>
            </w:tcBorders>
          </w:tcPr>
          <w:p w14:paraId="7A4DCBF3" w14:textId="77777777" w:rsidR="002A175E" w:rsidRPr="002A175E" w:rsidRDefault="002A175E" w:rsidP="00A84EB0">
            <w:pPr>
              <w:jc w:val="center"/>
              <w:rPr>
                <w:rFonts w:ascii="Times New Roman" w:hAnsi="Times New Roman" w:cs="Times New Roman"/>
                <w:szCs w:val="24"/>
              </w:rPr>
            </w:pPr>
            <w:r w:rsidRPr="002A175E">
              <w:rPr>
                <w:rFonts w:ascii="Times New Roman" w:hAnsi="Times New Roman" w:cs="Times New Roman"/>
                <w:szCs w:val="24"/>
              </w:rPr>
              <w:t>0.28</w:t>
            </w:r>
          </w:p>
        </w:tc>
      </w:tr>
    </w:tbl>
    <w:p w14:paraId="3A0D64AC" w14:textId="77777777" w:rsidR="002A175E" w:rsidRPr="00A84EB0" w:rsidRDefault="002A175E" w:rsidP="002A175E">
      <w:pPr>
        <w:rPr>
          <w:rFonts w:ascii="Times New Roman" w:hAnsi="Times New Roman" w:cs="Times New Roman"/>
          <w:sz w:val="20"/>
          <w:szCs w:val="20"/>
        </w:rPr>
      </w:pPr>
      <w:r w:rsidRPr="00A84EB0">
        <w:rPr>
          <w:rFonts w:ascii="Times New Roman" w:hAnsi="Times New Roman" w:cs="Times New Roman"/>
          <w:i/>
          <w:sz w:val="20"/>
          <w:szCs w:val="20"/>
        </w:rPr>
        <w:t>Notes:</w:t>
      </w:r>
      <w:r>
        <w:rPr>
          <w:rFonts w:ascii="Times New Roman" w:hAnsi="Times New Roman" w:cs="Times New Roman"/>
          <w:sz w:val="20"/>
          <w:szCs w:val="20"/>
        </w:rPr>
        <w:t xml:space="preserve"> </w:t>
      </w:r>
      <w:r w:rsidRPr="00A84EB0">
        <w:rPr>
          <w:rFonts w:ascii="Times New Roman" w:hAnsi="Times New Roman" w:cs="Times New Roman"/>
          <w:sz w:val="20"/>
          <w:szCs w:val="20"/>
        </w:rPr>
        <w:t>Source: EuroStat 2013 edition, IMF MONA 2013 edition, World Bank Political Institutions Database 2013 edition.</w:t>
      </w:r>
    </w:p>
    <w:p w14:paraId="2EDBFD8A" w14:textId="77777777" w:rsidR="002A175E" w:rsidRPr="00A84EB0" w:rsidRDefault="002A175E" w:rsidP="002A175E">
      <w:pPr>
        <w:rPr>
          <w:rFonts w:ascii="Times New Roman" w:hAnsi="Times New Roman" w:cs="Times New Roman"/>
          <w:sz w:val="20"/>
          <w:szCs w:val="20"/>
        </w:rPr>
      </w:pPr>
      <w:r w:rsidRPr="00A84EB0">
        <w:rPr>
          <w:rFonts w:ascii="Times New Roman" w:hAnsi="Times New Roman" w:cs="Times New Roman"/>
          <w:sz w:val="20"/>
          <w:szCs w:val="20"/>
        </w:rPr>
        <w:t xml:space="preserve">Standard errors in parentheses, adjusted for repeated observations: * </w:t>
      </w:r>
      <w:r w:rsidRPr="00A84EB0">
        <w:rPr>
          <w:rFonts w:ascii="Times New Roman" w:hAnsi="Times New Roman" w:cs="Times New Roman"/>
          <w:i/>
          <w:iCs/>
          <w:sz w:val="20"/>
          <w:szCs w:val="20"/>
        </w:rPr>
        <w:t>p</w:t>
      </w:r>
      <w:r w:rsidRPr="00A84EB0">
        <w:rPr>
          <w:rFonts w:ascii="Times New Roman" w:hAnsi="Times New Roman" w:cs="Times New Roman"/>
          <w:sz w:val="20"/>
          <w:szCs w:val="20"/>
        </w:rPr>
        <w:t xml:space="preserve"> &lt; 0.05, ** </w:t>
      </w:r>
      <w:r w:rsidRPr="00A84EB0">
        <w:rPr>
          <w:rFonts w:ascii="Times New Roman" w:hAnsi="Times New Roman" w:cs="Times New Roman"/>
          <w:i/>
          <w:iCs/>
          <w:sz w:val="20"/>
          <w:szCs w:val="20"/>
        </w:rPr>
        <w:t>p</w:t>
      </w:r>
      <w:r w:rsidRPr="00A84EB0">
        <w:rPr>
          <w:rFonts w:ascii="Times New Roman" w:hAnsi="Times New Roman" w:cs="Times New Roman"/>
          <w:sz w:val="20"/>
          <w:szCs w:val="20"/>
        </w:rPr>
        <w:t xml:space="preserve"> &lt; 0.01</w:t>
      </w:r>
    </w:p>
    <w:p w14:paraId="489A75EB" w14:textId="77777777" w:rsidR="002A175E" w:rsidRPr="00A84EB0" w:rsidRDefault="002A175E" w:rsidP="002A175E">
      <w:pPr>
        <w:rPr>
          <w:rFonts w:ascii="Times New Roman" w:hAnsi="Times New Roman" w:cs="Times New Roman"/>
          <w:bCs/>
          <w:sz w:val="20"/>
          <w:szCs w:val="20"/>
        </w:rPr>
      </w:pPr>
      <w:r w:rsidRPr="00A84EB0">
        <w:rPr>
          <w:rFonts w:ascii="Times New Roman" w:hAnsi="Times New Roman" w:cs="Times New Roman"/>
          <w:bCs/>
          <w:sz w:val="20"/>
          <w:szCs w:val="20"/>
          <w:vertAlign w:val="superscript"/>
        </w:rPr>
        <w:t xml:space="preserve">† </w:t>
      </w:r>
      <w:r w:rsidRPr="00A84EB0">
        <w:rPr>
          <w:rFonts w:ascii="Times New Roman" w:hAnsi="Times New Roman" w:cs="Times New Roman"/>
          <w:bCs/>
          <w:sz w:val="20"/>
          <w:szCs w:val="20"/>
        </w:rPr>
        <w:t>- units in real per capita, in constant purchasing-power-parity USD</w:t>
      </w:r>
    </w:p>
    <w:p w14:paraId="68AA8997" w14:textId="77777777" w:rsidR="002A175E" w:rsidRPr="00A84EB0" w:rsidRDefault="002A175E" w:rsidP="002A175E">
      <w:pPr>
        <w:rPr>
          <w:rFonts w:ascii="Times New Roman" w:hAnsi="Times New Roman" w:cs="Times New Roman"/>
          <w:sz w:val="20"/>
          <w:szCs w:val="20"/>
        </w:rPr>
      </w:pPr>
      <w:r w:rsidRPr="00A84EB0">
        <w:rPr>
          <w:rFonts w:ascii="Times New Roman" w:hAnsi="Times New Roman" w:cs="Times New Roman"/>
          <w:sz w:val="20"/>
          <w:szCs w:val="20"/>
        </w:rPr>
        <w:t>˚ Baseline category is Centre. Taken from the World Bank Political Institutions database, Left governing party and Right governing party are measures of the economic ideology of the governing party (or the party whose leader is head of a coalition) derived from party manifestos.</w:t>
      </w:r>
    </w:p>
    <w:p w14:paraId="716D6229" w14:textId="77777777" w:rsidR="004F0B92" w:rsidRPr="002F3B34" w:rsidRDefault="002A175E">
      <w:pPr>
        <w:rPr>
          <w:rFonts w:ascii="Times New Roman" w:hAnsi="Times New Roman" w:cs="Times New Roman"/>
          <w:szCs w:val="24"/>
        </w:rPr>
      </w:pPr>
      <w:r w:rsidRPr="00A84EB0">
        <w:rPr>
          <w:rFonts w:ascii="Times New Roman" w:hAnsi="Times New Roman" w:cs="Times New Roman"/>
          <w:sz w:val="20"/>
          <w:szCs w:val="20"/>
        </w:rPr>
        <w:t>IMF bailouts include Stand-by Arrangements, usually short-term lending to states to cover the effect of unanticipated shocks, and Extended Fund Facilities, which are usually medium- or long-term lending programmes aimed at overcoming weaknesses in the national economy which may have precipitated or exacerbated the shock.</w:t>
      </w:r>
      <w:r w:rsidRPr="002A175E">
        <w:rPr>
          <w:rFonts w:ascii="Times New Roman" w:hAnsi="Times New Roman" w:cs="Times New Roman"/>
          <w:szCs w:val="24"/>
        </w:rPr>
        <w:t xml:space="preserve">   </w:t>
      </w:r>
      <w:r w:rsidR="005B555D" w:rsidRPr="002F3B34">
        <w:rPr>
          <w:rFonts w:ascii="Times New Roman" w:hAnsi="Times New Roman" w:cs="Times New Roman"/>
          <w:szCs w:val="24"/>
        </w:rPr>
        <w:br w:type="page"/>
      </w:r>
    </w:p>
    <w:p w14:paraId="0C5BA5D9" w14:textId="77777777" w:rsidR="006937C8" w:rsidRDefault="006937C8" w:rsidP="006937C8">
      <w:pPr>
        <w:rPr>
          <w:rFonts w:ascii="Times New Roman" w:hAnsi="Times New Roman" w:cs="Times New Roman"/>
          <w:szCs w:val="24"/>
        </w:rPr>
      </w:pPr>
      <w:r w:rsidRPr="002F3B34">
        <w:rPr>
          <w:rFonts w:ascii="Times New Roman" w:hAnsi="Times New Roman" w:cs="Times New Roman"/>
          <w:szCs w:val="24"/>
        </w:rPr>
        <w:t>Web App</w:t>
      </w:r>
      <w:r w:rsidR="00BE348E" w:rsidRPr="002F3B34">
        <w:rPr>
          <w:rFonts w:ascii="Times New Roman" w:hAnsi="Times New Roman" w:cs="Times New Roman"/>
          <w:szCs w:val="24"/>
        </w:rPr>
        <w:t xml:space="preserve">endix </w:t>
      </w:r>
      <w:r w:rsidR="000F05DE" w:rsidRPr="00A04F75">
        <w:rPr>
          <w:rFonts w:ascii="Times New Roman" w:hAnsi="Times New Roman" w:cs="Times New Roman"/>
          <w:szCs w:val="24"/>
        </w:rPr>
        <w:t>9</w:t>
      </w:r>
      <w:r w:rsidRPr="002F3B34">
        <w:rPr>
          <w:rFonts w:ascii="Times New Roman" w:hAnsi="Times New Roman" w:cs="Times New Roman"/>
          <w:szCs w:val="24"/>
        </w:rPr>
        <w:t>: Economic and political determinants of annual change in health spending among 27 EU countries, 1995-2011 (</w:t>
      </w:r>
      <w:r w:rsidR="00FA229B" w:rsidRPr="00A04F75">
        <w:rPr>
          <w:rFonts w:ascii="Times New Roman" w:hAnsi="Times New Roman" w:cs="Times New Roman"/>
          <w:szCs w:val="24"/>
        </w:rPr>
        <w:t>cumulative decline across recession period</w:t>
      </w:r>
      <w:r w:rsidRPr="00A04F75">
        <w:rPr>
          <w:rFonts w:ascii="Times New Roman" w:hAnsi="Times New Roman" w:cs="Times New Roman"/>
          <w:szCs w:val="24"/>
        </w:rPr>
        <w:t>)</w:t>
      </w:r>
    </w:p>
    <w:tbl>
      <w:tblPr>
        <w:tblW w:w="5000" w:type="pct"/>
        <w:tblLayout w:type="fixed"/>
        <w:tblLook w:val="0000" w:firstRow="0" w:lastRow="0" w:firstColumn="0" w:lastColumn="0" w:noHBand="0" w:noVBand="0"/>
      </w:tblPr>
      <w:tblGrid>
        <w:gridCol w:w="3018"/>
        <w:gridCol w:w="1035"/>
        <w:gridCol w:w="1035"/>
        <w:gridCol w:w="1035"/>
        <w:gridCol w:w="1035"/>
        <w:gridCol w:w="1030"/>
        <w:gridCol w:w="1054"/>
      </w:tblGrid>
      <w:tr w:rsidR="002A175E" w:rsidRPr="002F3B34" w14:paraId="73F5BE89" w14:textId="77777777" w:rsidTr="002A175E">
        <w:tc>
          <w:tcPr>
            <w:tcW w:w="1633" w:type="pct"/>
            <w:tcBorders>
              <w:top w:val="single" w:sz="4" w:space="0" w:color="auto"/>
              <w:left w:val="nil"/>
              <w:right w:val="nil"/>
            </w:tcBorders>
          </w:tcPr>
          <w:p w14:paraId="32F63F7D"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3367" w:type="pct"/>
            <w:gridSpan w:val="6"/>
            <w:tcBorders>
              <w:top w:val="single" w:sz="4" w:space="0" w:color="auto"/>
              <w:left w:val="nil"/>
              <w:right w:val="nil"/>
            </w:tcBorders>
          </w:tcPr>
          <w:p w14:paraId="2BEE671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Annual change in health spending</w:t>
            </w:r>
            <w:r w:rsidRPr="00A50D41">
              <w:rPr>
                <w:rFonts w:ascii="Times New Roman" w:hAnsi="Times New Roman" w:cs="Times New Roman"/>
                <w:szCs w:val="24"/>
                <w:vertAlign w:val="superscript"/>
              </w:rPr>
              <w:t>†</w:t>
            </w:r>
          </w:p>
        </w:tc>
      </w:tr>
      <w:tr w:rsidR="002A175E" w:rsidRPr="002F3B34" w14:paraId="4017230F" w14:textId="77777777" w:rsidTr="002A175E">
        <w:tc>
          <w:tcPr>
            <w:tcW w:w="1633" w:type="pct"/>
            <w:tcBorders>
              <w:left w:val="nil"/>
              <w:bottom w:val="nil"/>
              <w:right w:val="nil"/>
            </w:tcBorders>
          </w:tcPr>
          <w:p w14:paraId="359B7E2A"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Covariates</w:t>
            </w:r>
          </w:p>
        </w:tc>
        <w:tc>
          <w:tcPr>
            <w:tcW w:w="560" w:type="pct"/>
            <w:tcBorders>
              <w:left w:val="nil"/>
              <w:bottom w:val="nil"/>
              <w:right w:val="nil"/>
            </w:tcBorders>
          </w:tcPr>
          <w:p w14:paraId="2943D66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w:t>
            </w:r>
          </w:p>
        </w:tc>
        <w:tc>
          <w:tcPr>
            <w:tcW w:w="560" w:type="pct"/>
            <w:tcBorders>
              <w:left w:val="nil"/>
              <w:bottom w:val="nil"/>
              <w:right w:val="nil"/>
            </w:tcBorders>
          </w:tcPr>
          <w:p w14:paraId="2A85937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w:t>
            </w:r>
          </w:p>
        </w:tc>
        <w:tc>
          <w:tcPr>
            <w:tcW w:w="560" w:type="pct"/>
            <w:tcBorders>
              <w:left w:val="nil"/>
              <w:bottom w:val="nil"/>
              <w:right w:val="nil"/>
            </w:tcBorders>
          </w:tcPr>
          <w:p w14:paraId="61766EA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w:t>
            </w:r>
          </w:p>
        </w:tc>
        <w:tc>
          <w:tcPr>
            <w:tcW w:w="560" w:type="pct"/>
            <w:tcBorders>
              <w:left w:val="nil"/>
              <w:bottom w:val="nil"/>
              <w:right w:val="nil"/>
            </w:tcBorders>
          </w:tcPr>
          <w:p w14:paraId="1780E32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(4)</w:t>
            </w:r>
          </w:p>
        </w:tc>
        <w:tc>
          <w:tcPr>
            <w:tcW w:w="557" w:type="pct"/>
            <w:tcBorders>
              <w:left w:val="nil"/>
              <w:bottom w:val="nil"/>
              <w:right w:val="nil"/>
            </w:tcBorders>
          </w:tcPr>
          <w:p w14:paraId="46961B4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(5)</w:t>
            </w:r>
          </w:p>
        </w:tc>
        <w:tc>
          <w:tcPr>
            <w:tcW w:w="570" w:type="pct"/>
            <w:tcBorders>
              <w:left w:val="nil"/>
              <w:bottom w:val="nil"/>
              <w:right w:val="nil"/>
            </w:tcBorders>
          </w:tcPr>
          <w:p w14:paraId="07A0D4FA"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(6)</w:t>
            </w:r>
          </w:p>
        </w:tc>
      </w:tr>
      <w:tr w:rsidR="002A175E" w:rsidRPr="002F3B34" w14:paraId="433F16A4" w14:textId="77777777" w:rsidTr="002A175E">
        <w:tc>
          <w:tcPr>
            <w:tcW w:w="1633" w:type="pct"/>
            <w:vMerge w:val="restart"/>
            <w:tcBorders>
              <w:top w:val="single" w:sz="4" w:space="0" w:color="auto"/>
              <w:left w:val="nil"/>
              <w:right w:val="nil"/>
            </w:tcBorders>
          </w:tcPr>
          <w:p w14:paraId="52A8BEAE"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$10 annual increase in GDP</w:t>
            </w:r>
            <w:r w:rsidRPr="00E26417">
              <w:rPr>
                <w:rFonts w:ascii="Times New Roman" w:hAnsi="Times New Roman" w:cs="Times New Roman"/>
                <w:szCs w:val="24"/>
                <w:vertAlign w:val="superscript"/>
              </w:rPr>
              <w:t>†</w:t>
            </w:r>
            <w:r w:rsidRPr="00A04F75">
              <w:rPr>
                <w:rFonts w:ascii="Times New Roman" w:hAnsi="Times New Roman" w:cs="Times New Roman"/>
                <w:szCs w:val="24"/>
              </w:rPr>
              <w:t xml:space="preserve"> </w:t>
            </w:r>
          </w:p>
        </w:tc>
        <w:tc>
          <w:tcPr>
            <w:tcW w:w="560" w:type="pct"/>
            <w:tcBorders>
              <w:top w:val="single" w:sz="4" w:space="0" w:color="auto"/>
              <w:left w:val="nil"/>
              <w:bottom w:val="nil"/>
              <w:right w:val="nil"/>
            </w:tcBorders>
          </w:tcPr>
          <w:p w14:paraId="2EA7F6F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0.24</w:t>
            </w:r>
            <w:r w:rsidRPr="00A04F75">
              <w:rPr>
                <w:rFonts w:ascii="Times New Roman" w:hAnsi="Times New Roman" w:cs="Times New Roman"/>
                <w:szCs w:val="24"/>
                <w:vertAlign w:val="superscript"/>
              </w:rPr>
              <w:t>**</w:t>
            </w:r>
          </w:p>
        </w:tc>
        <w:tc>
          <w:tcPr>
            <w:tcW w:w="560" w:type="pct"/>
            <w:tcBorders>
              <w:top w:val="single" w:sz="4" w:space="0" w:color="auto"/>
              <w:left w:val="nil"/>
              <w:bottom w:val="nil"/>
              <w:right w:val="nil"/>
            </w:tcBorders>
          </w:tcPr>
          <w:p w14:paraId="7CB984A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0.18</w:t>
            </w:r>
            <w:r w:rsidRPr="00A04F75">
              <w:rPr>
                <w:rFonts w:ascii="Times New Roman" w:hAnsi="Times New Roman" w:cs="Times New Roman"/>
                <w:szCs w:val="24"/>
                <w:vertAlign w:val="superscript"/>
              </w:rPr>
              <w:t>*</w:t>
            </w:r>
          </w:p>
        </w:tc>
        <w:tc>
          <w:tcPr>
            <w:tcW w:w="560" w:type="pct"/>
            <w:tcBorders>
              <w:top w:val="single" w:sz="4" w:space="0" w:color="auto"/>
              <w:left w:val="nil"/>
              <w:bottom w:val="nil"/>
              <w:right w:val="nil"/>
            </w:tcBorders>
          </w:tcPr>
          <w:p w14:paraId="74237D6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0.19</w:t>
            </w:r>
            <w:r w:rsidRPr="00A04F75">
              <w:rPr>
                <w:rFonts w:ascii="Times New Roman" w:hAnsi="Times New Roman" w:cs="Times New Roman"/>
                <w:szCs w:val="24"/>
                <w:vertAlign w:val="superscript"/>
              </w:rPr>
              <w:t>*</w:t>
            </w:r>
          </w:p>
        </w:tc>
        <w:tc>
          <w:tcPr>
            <w:tcW w:w="560" w:type="pct"/>
            <w:tcBorders>
              <w:top w:val="single" w:sz="4" w:space="0" w:color="auto"/>
              <w:left w:val="nil"/>
              <w:bottom w:val="nil"/>
              <w:right w:val="nil"/>
            </w:tcBorders>
          </w:tcPr>
          <w:p w14:paraId="108E6D7A"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0.14</w:t>
            </w:r>
            <w:r w:rsidRPr="00A04F75">
              <w:rPr>
                <w:rFonts w:ascii="Times New Roman" w:hAnsi="Times New Roman" w:cs="Times New Roman"/>
                <w:szCs w:val="24"/>
                <w:vertAlign w:val="superscript"/>
              </w:rPr>
              <w:t>*</w:t>
            </w:r>
          </w:p>
        </w:tc>
        <w:tc>
          <w:tcPr>
            <w:tcW w:w="557" w:type="pct"/>
            <w:tcBorders>
              <w:top w:val="single" w:sz="4" w:space="0" w:color="auto"/>
              <w:left w:val="nil"/>
              <w:bottom w:val="nil"/>
              <w:right w:val="nil"/>
            </w:tcBorders>
          </w:tcPr>
          <w:p w14:paraId="430A9672"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0.15</w:t>
            </w:r>
            <w:r w:rsidRPr="00A04F75">
              <w:rPr>
                <w:rFonts w:ascii="Times New Roman" w:hAnsi="Times New Roman" w:cs="Times New Roman"/>
                <w:szCs w:val="24"/>
                <w:vertAlign w:val="superscript"/>
              </w:rPr>
              <w:t>*</w:t>
            </w:r>
          </w:p>
        </w:tc>
        <w:tc>
          <w:tcPr>
            <w:tcW w:w="570" w:type="pct"/>
            <w:tcBorders>
              <w:top w:val="single" w:sz="4" w:space="0" w:color="auto"/>
              <w:left w:val="nil"/>
              <w:bottom w:val="nil"/>
              <w:right w:val="nil"/>
            </w:tcBorders>
          </w:tcPr>
          <w:p w14:paraId="083A64F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0.18</w:t>
            </w:r>
            <w:r w:rsidRPr="00A04F75">
              <w:rPr>
                <w:rFonts w:ascii="Times New Roman" w:hAnsi="Times New Roman" w:cs="Times New Roman"/>
                <w:szCs w:val="24"/>
                <w:vertAlign w:val="superscript"/>
              </w:rPr>
              <w:t>**</w:t>
            </w:r>
          </w:p>
        </w:tc>
      </w:tr>
      <w:tr w:rsidR="002A175E" w:rsidRPr="002F3B34" w14:paraId="72C19CA4" w14:textId="77777777" w:rsidTr="002A175E">
        <w:tc>
          <w:tcPr>
            <w:tcW w:w="1633" w:type="pct"/>
            <w:vMerge/>
            <w:tcBorders>
              <w:left w:val="nil"/>
              <w:right w:val="nil"/>
            </w:tcBorders>
          </w:tcPr>
          <w:p w14:paraId="6654680B"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F285F5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(0.072)</w:t>
            </w:r>
          </w:p>
        </w:tc>
        <w:tc>
          <w:tcPr>
            <w:tcW w:w="560" w:type="pct"/>
            <w:tcBorders>
              <w:top w:val="nil"/>
              <w:left w:val="nil"/>
              <w:bottom w:val="nil"/>
              <w:right w:val="nil"/>
            </w:tcBorders>
          </w:tcPr>
          <w:p w14:paraId="5ADF45C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(0.071)</w:t>
            </w:r>
          </w:p>
        </w:tc>
        <w:tc>
          <w:tcPr>
            <w:tcW w:w="560" w:type="pct"/>
            <w:tcBorders>
              <w:top w:val="nil"/>
              <w:left w:val="nil"/>
              <w:bottom w:val="nil"/>
              <w:right w:val="nil"/>
            </w:tcBorders>
          </w:tcPr>
          <w:p w14:paraId="4285D39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(0.070)</w:t>
            </w:r>
          </w:p>
        </w:tc>
        <w:tc>
          <w:tcPr>
            <w:tcW w:w="560" w:type="pct"/>
            <w:tcBorders>
              <w:top w:val="nil"/>
              <w:left w:val="nil"/>
              <w:bottom w:val="nil"/>
              <w:right w:val="nil"/>
            </w:tcBorders>
          </w:tcPr>
          <w:p w14:paraId="2312327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(0.063)</w:t>
            </w:r>
          </w:p>
        </w:tc>
        <w:tc>
          <w:tcPr>
            <w:tcW w:w="557" w:type="pct"/>
            <w:tcBorders>
              <w:top w:val="nil"/>
              <w:left w:val="nil"/>
              <w:bottom w:val="nil"/>
              <w:right w:val="nil"/>
            </w:tcBorders>
          </w:tcPr>
          <w:p w14:paraId="0C263847"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(0.059)</w:t>
            </w:r>
          </w:p>
        </w:tc>
        <w:tc>
          <w:tcPr>
            <w:tcW w:w="570" w:type="pct"/>
            <w:tcBorders>
              <w:top w:val="nil"/>
              <w:left w:val="nil"/>
              <w:bottom w:val="nil"/>
              <w:right w:val="nil"/>
            </w:tcBorders>
          </w:tcPr>
          <w:p w14:paraId="3149AEB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(0.063)</w:t>
            </w:r>
          </w:p>
        </w:tc>
      </w:tr>
      <w:tr w:rsidR="002A175E" w:rsidRPr="002F3B34" w14:paraId="60497916" w14:textId="77777777" w:rsidTr="002A175E">
        <w:tc>
          <w:tcPr>
            <w:tcW w:w="1633" w:type="pct"/>
            <w:vMerge/>
            <w:tcBorders>
              <w:left w:val="nil"/>
              <w:bottom w:val="nil"/>
              <w:right w:val="nil"/>
            </w:tcBorders>
          </w:tcPr>
          <w:p w14:paraId="08A335D2"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8545EAD"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7C10530"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2F0E379"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E53550E"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2DF2A120"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501C1474"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71278E28" w14:textId="77777777" w:rsidTr="002A175E">
        <w:tc>
          <w:tcPr>
            <w:tcW w:w="1633" w:type="pct"/>
            <w:vMerge w:val="restart"/>
            <w:tcBorders>
              <w:top w:val="nil"/>
              <w:left w:val="nil"/>
              <w:right w:val="nil"/>
            </w:tcBorders>
          </w:tcPr>
          <w:p w14:paraId="7DB71DC0"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$100 </w:t>
            </w:r>
            <w:r>
              <w:rPr>
                <w:rFonts w:ascii="Times New Roman" w:hAnsi="Times New Roman" w:cs="Times New Roman"/>
                <w:szCs w:val="24"/>
              </w:rPr>
              <w:t xml:space="preserve">annual </w:t>
            </w:r>
            <w:r w:rsidRPr="00A04F75">
              <w:rPr>
                <w:rFonts w:ascii="Times New Roman" w:hAnsi="Times New Roman" w:cs="Times New Roman"/>
                <w:szCs w:val="24"/>
              </w:rPr>
              <w:t>increa</w:t>
            </w:r>
            <w:r>
              <w:rPr>
                <w:rFonts w:ascii="Times New Roman" w:hAnsi="Times New Roman" w:cs="Times New Roman"/>
                <w:szCs w:val="24"/>
              </w:rPr>
              <w:t>se in t</w:t>
            </w:r>
            <w:r w:rsidRPr="00A04F75">
              <w:rPr>
                <w:rFonts w:ascii="Times New Roman" w:hAnsi="Times New Roman" w:cs="Times New Roman"/>
                <w:szCs w:val="24"/>
              </w:rPr>
              <w:t>ax revenue</w:t>
            </w:r>
            <w:r w:rsidRPr="00E26417">
              <w:rPr>
                <w:rFonts w:ascii="Times New Roman" w:hAnsi="Times New Roman" w:cs="Times New Roman"/>
                <w:szCs w:val="24"/>
                <w:vertAlign w:val="superscript"/>
              </w:rPr>
              <w:t>†</w:t>
            </w:r>
          </w:p>
        </w:tc>
        <w:tc>
          <w:tcPr>
            <w:tcW w:w="560" w:type="pct"/>
            <w:tcBorders>
              <w:top w:val="nil"/>
              <w:left w:val="nil"/>
              <w:bottom w:val="nil"/>
              <w:right w:val="nil"/>
            </w:tcBorders>
          </w:tcPr>
          <w:p w14:paraId="74FD4A0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40D00E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4.04</w:t>
            </w:r>
            <w:r w:rsidRPr="00A04F75">
              <w:rPr>
                <w:rFonts w:ascii="Times New Roman" w:hAnsi="Times New Roman" w:cs="Times New Roman"/>
                <w:szCs w:val="24"/>
                <w:vertAlign w:val="superscript"/>
              </w:rPr>
              <w:t>**</w:t>
            </w:r>
          </w:p>
        </w:tc>
        <w:tc>
          <w:tcPr>
            <w:tcW w:w="560" w:type="pct"/>
            <w:tcBorders>
              <w:top w:val="nil"/>
              <w:left w:val="nil"/>
              <w:bottom w:val="nil"/>
              <w:right w:val="nil"/>
            </w:tcBorders>
          </w:tcPr>
          <w:p w14:paraId="71E9419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4.07</w:t>
            </w:r>
            <w:r w:rsidRPr="00A04F75">
              <w:rPr>
                <w:rFonts w:ascii="Times New Roman" w:hAnsi="Times New Roman" w:cs="Times New Roman"/>
                <w:szCs w:val="24"/>
                <w:vertAlign w:val="superscript"/>
              </w:rPr>
              <w:t>**</w:t>
            </w:r>
          </w:p>
        </w:tc>
        <w:tc>
          <w:tcPr>
            <w:tcW w:w="560" w:type="pct"/>
            <w:tcBorders>
              <w:top w:val="nil"/>
              <w:left w:val="nil"/>
              <w:bottom w:val="nil"/>
              <w:right w:val="nil"/>
            </w:tcBorders>
          </w:tcPr>
          <w:p w14:paraId="1C8702B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3.09</w:t>
            </w:r>
            <w:r w:rsidRPr="00A04F75">
              <w:rPr>
                <w:rFonts w:ascii="Times New Roman" w:hAnsi="Times New Roman" w:cs="Times New Roman"/>
                <w:szCs w:val="24"/>
                <w:vertAlign w:val="superscript"/>
              </w:rPr>
              <w:t>**</w:t>
            </w:r>
          </w:p>
        </w:tc>
        <w:tc>
          <w:tcPr>
            <w:tcW w:w="557" w:type="pct"/>
            <w:tcBorders>
              <w:top w:val="nil"/>
              <w:left w:val="nil"/>
              <w:bottom w:val="nil"/>
              <w:right w:val="nil"/>
            </w:tcBorders>
          </w:tcPr>
          <w:p w14:paraId="028123A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2.64</w:t>
            </w:r>
            <w:r w:rsidRPr="00A04F75">
              <w:rPr>
                <w:rFonts w:ascii="Times New Roman" w:hAnsi="Times New Roman" w:cs="Times New Roman"/>
                <w:szCs w:val="24"/>
                <w:vertAlign w:val="superscript"/>
              </w:rPr>
              <w:t>**</w:t>
            </w:r>
          </w:p>
        </w:tc>
        <w:tc>
          <w:tcPr>
            <w:tcW w:w="570" w:type="pct"/>
            <w:tcBorders>
              <w:top w:val="nil"/>
              <w:left w:val="nil"/>
              <w:bottom w:val="nil"/>
              <w:right w:val="nil"/>
            </w:tcBorders>
          </w:tcPr>
          <w:p w14:paraId="2F4124A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2.10</w:t>
            </w:r>
            <w:r w:rsidRPr="00A04F75">
              <w:rPr>
                <w:rFonts w:ascii="Times New Roman" w:hAnsi="Times New Roman" w:cs="Times New Roman"/>
                <w:szCs w:val="24"/>
                <w:vertAlign w:val="superscript"/>
              </w:rPr>
              <w:t>**</w:t>
            </w:r>
          </w:p>
        </w:tc>
      </w:tr>
      <w:tr w:rsidR="002A175E" w:rsidRPr="002F3B34" w14:paraId="0CDA29E6" w14:textId="77777777" w:rsidTr="002A175E">
        <w:tc>
          <w:tcPr>
            <w:tcW w:w="1633" w:type="pct"/>
            <w:vMerge/>
            <w:tcBorders>
              <w:left w:val="nil"/>
              <w:bottom w:val="nil"/>
              <w:right w:val="nil"/>
            </w:tcBorders>
          </w:tcPr>
          <w:p w14:paraId="15857890"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C6EF2A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0760797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(0.90)</w:t>
            </w:r>
          </w:p>
        </w:tc>
        <w:tc>
          <w:tcPr>
            <w:tcW w:w="560" w:type="pct"/>
            <w:tcBorders>
              <w:top w:val="nil"/>
              <w:left w:val="nil"/>
              <w:bottom w:val="nil"/>
              <w:right w:val="nil"/>
            </w:tcBorders>
          </w:tcPr>
          <w:p w14:paraId="1B20A0E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(0.88)</w:t>
            </w:r>
          </w:p>
        </w:tc>
        <w:tc>
          <w:tcPr>
            <w:tcW w:w="560" w:type="pct"/>
            <w:tcBorders>
              <w:top w:val="nil"/>
              <w:left w:val="nil"/>
              <w:bottom w:val="nil"/>
              <w:right w:val="nil"/>
            </w:tcBorders>
          </w:tcPr>
          <w:p w14:paraId="4DCA5DA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(0.66)</w:t>
            </w:r>
          </w:p>
        </w:tc>
        <w:tc>
          <w:tcPr>
            <w:tcW w:w="557" w:type="pct"/>
            <w:tcBorders>
              <w:top w:val="nil"/>
              <w:left w:val="nil"/>
              <w:bottom w:val="nil"/>
              <w:right w:val="nil"/>
            </w:tcBorders>
          </w:tcPr>
          <w:p w14:paraId="6777499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(0.71)</w:t>
            </w:r>
          </w:p>
        </w:tc>
        <w:tc>
          <w:tcPr>
            <w:tcW w:w="570" w:type="pct"/>
            <w:tcBorders>
              <w:top w:val="nil"/>
              <w:left w:val="nil"/>
              <w:bottom w:val="nil"/>
              <w:right w:val="nil"/>
            </w:tcBorders>
          </w:tcPr>
          <w:p w14:paraId="664F576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(0.75)</w:t>
            </w:r>
          </w:p>
        </w:tc>
      </w:tr>
      <w:tr w:rsidR="002A175E" w:rsidRPr="002F3B34" w14:paraId="75112F4B" w14:textId="77777777" w:rsidTr="002A175E">
        <w:tc>
          <w:tcPr>
            <w:tcW w:w="1633" w:type="pct"/>
            <w:tcBorders>
              <w:top w:val="nil"/>
              <w:left w:val="nil"/>
              <w:bottom w:val="nil"/>
              <w:right w:val="nil"/>
            </w:tcBorders>
          </w:tcPr>
          <w:p w14:paraId="2886179A"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B442784"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0ACD21D"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105703C"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8AF9580"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530711F6"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5148E8A0"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3030AACF" w14:textId="77777777" w:rsidTr="002A175E">
        <w:tc>
          <w:tcPr>
            <w:tcW w:w="1633" w:type="pct"/>
            <w:vMerge w:val="restart"/>
            <w:tcBorders>
              <w:top w:val="nil"/>
              <w:left w:val="nil"/>
              <w:right w:val="nil"/>
            </w:tcBorders>
          </w:tcPr>
          <w:p w14:paraId="2F50430A" w14:textId="77777777" w:rsidR="002A175E" w:rsidRPr="002F3B34" w:rsidRDefault="002A175E" w:rsidP="002A175E">
            <w:pPr>
              <w:widowControl w:val="0"/>
              <w:autoSpaceDE w:val="0"/>
              <w:autoSpaceDN w:val="0"/>
              <w:adjustRightInd w:val="0"/>
              <w:rPr>
                <w:rFonts w:ascii="Times New Roman" w:hAnsi="Times New Roman" w:cs="Times New Roman"/>
                <w:szCs w:val="24"/>
              </w:rPr>
            </w:pPr>
            <w:r>
              <w:rPr>
                <w:rFonts w:ascii="Times New Roman" w:hAnsi="Times New Roman" w:cs="Times New Roman"/>
                <w:szCs w:val="24"/>
              </w:rPr>
              <w:t>Public debt as percentage of GDP in the previous year</w:t>
            </w:r>
          </w:p>
        </w:tc>
        <w:tc>
          <w:tcPr>
            <w:tcW w:w="560" w:type="pct"/>
            <w:tcBorders>
              <w:top w:val="nil"/>
              <w:left w:val="nil"/>
              <w:bottom w:val="nil"/>
              <w:right w:val="nil"/>
            </w:tcBorders>
          </w:tcPr>
          <w:p w14:paraId="3528949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0D993B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605918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-0.076</w:t>
            </w:r>
          </w:p>
        </w:tc>
        <w:tc>
          <w:tcPr>
            <w:tcW w:w="560" w:type="pct"/>
            <w:tcBorders>
              <w:top w:val="nil"/>
              <w:left w:val="nil"/>
              <w:bottom w:val="nil"/>
              <w:right w:val="nil"/>
            </w:tcBorders>
          </w:tcPr>
          <w:p w14:paraId="7EADAA9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-0.040</w:t>
            </w:r>
          </w:p>
        </w:tc>
        <w:tc>
          <w:tcPr>
            <w:tcW w:w="557" w:type="pct"/>
            <w:tcBorders>
              <w:top w:val="nil"/>
              <w:left w:val="nil"/>
              <w:bottom w:val="nil"/>
              <w:right w:val="nil"/>
            </w:tcBorders>
          </w:tcPr>
          <w:p w14:paraId="6776FB1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-0.10</w:t>
            </w:r>
          </w:p>
        </w:tc>
        <w:tc>
          <w:tcPr>
            <w:tcW w:w="570" w:type="pct"/>
            <w:tcBorders>
              <w:top w:val="nil"/>
              <w:left w:val="nil"/>
              <w:bottom w:val="nil"/>
              <w:right w:val="nil"/>
            </w:tcBorders>
          </w:tcPr>
          <w:p w14:paraId="5A8B61B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-0.15</w:t>
            </w:r>
          </w:p>
        </w:tc>
      </w:tr>
      <w:tr w:rsidR="002A175E" w:rsidRPr="002F3B34" w14:paraId="68199A73" w14:textId="77777777" w:rsidTr="002A175E">
        <w:tc>
          <w:tcPr>
            <w:tcW w:w="1633" w:type="pct"/>
            <w:vMerge/>
            <w:tcBorders>
              <w:left w:val="nil"/>
              <w:bottom w:val="nil"/>
              <w:right w:val="nil"/>
            </w:tcBorders>
          </w:tcPr>
          <w:p w14:paraId="56158E4E"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4012EA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0C66F71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520DE1A"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(0.15)</w:t>
            </w:r>
          </w:p>
        </w:tc>
        <w:tc>
          <w:tcPr>
            <w:tcW w:w="560" w:type="pct"/>
            <w:tcBorders>
              <w:top w:val="nil"/>
              <w:left w:val="nil"/>
              <w:bottom w:val="nil"/>
              <w:right w:val="nil"/>
            </w:tcBorders>
          </w:tcPr>
          <w:p w14:paraId="38F57B9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(0.14)</w:t>
            </w:r>
          </w:p>
        </w:tc>
        <w:tc>
          <w:tcPr>
            <w:tcW w:w="557" w:type="pct"/>
            <w:tcBorders>
              <w:top w:val="nil"/>
              <w:left w:val="nil"/>
              <w:bottom w:val="nil"/>
              <w:right w:val="nil"/>
            </w:tcBorders>
          </w:tcPr>
          <w:p w14:paraId="3C940CA7"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(0.13)</w:t>
            </w:r>
          </w:p>
        </w:tc>
        <w:tc>
          <w:tcPr>
            <w:tcW w:w="570" w:type="pct"/>
            <w:tcBorders>
              <w:top w:val="nil"/>
              <w:left w:val="nil"/>
              <w:bottom w:val="nil"/>
              <w:right w:val="nil"/>
            </w:tcBorders>
          </w:tcPr>
          <w:p w14:paraId="16B63B9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(0.15)</w:t>
            </w:r>
          </w:p>
        </w:tc>
      </w:tr>
      <w:tr w:rsidR="002A175E" w:rsidRPr="002F3B34" w14:paraId="1AFD25C0" w14:textId="77777777" w:rsidTr="002A175E">
        <w:tc>
          <w:tcPr>
            <w:tcW w:w="1633" w:type="pct"/>
            <w:tcBorders>
              <w:top w:val="nil"/>
              <w:left w:val="nil"/>
              <w:bottom w:val="nil"/>
              <w:right w:val="nil"/>
            </w:tcBorders>
          </w:tcPr>
          <w:p w14:paraId="39471242"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69437B4"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F29EA67"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6124E8D"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75C6EF5"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7019910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1FDDCC8E"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450862CF" w14:textId="77777777" w:rsidTr="002A175E">
        <w:tc>
          <w:tcPr>
            <w:tcW w:w="1633" w:type="pct"/>
            <w:vMerge w:val="restart"/>
            <w:tcBorders>
              <w:top w:val="nil"/>
              <w:left w:val="nil"/>
              <w:right w:val="nil"/>
            </w:tcBorders>
          </w:tcPr>
          <w:p w14:paraId="7C9DF922"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Implemented austerity in </w:t>
            </w:r>
            <w:r>
              <w:rPr>
                <w:rFonts w:ascii="Times New Roman" w:hAnsi="Times New Roman" w:cs="Times New Roman"/>
                <w:szCs w:val="24"/>
              </w:rPr>
              <w:t>current year</w:t>
            </w:r>
          </w:p>
        </w:tc>
        <w:tc>
          <w:tcPr>
            <w:tcW w:w="560" w:type="pct"/>
            <w:tcBorders>
              <w:top w:val="nil"/>
              <w:left w:val="nil"/>
              <w:bottom w:val="nil"/>
              <w:right w:val="nil"/>
            </w:tcBorders>
          </w:tcPr>
          <w:p w14:paraId="536B8B0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FC096BA"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A6356F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00BB25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-67.2</w:t>
            </w:r>
            <w:r w:rsidRPr="00A04F75">
              <w:rPr>
                <w:rFonts w:ascii="Times New Roman" w:hAnsi="Times New Roman" w:cs="Times New Roman"/>
                <w:szCs w:val="24"/>
                <w:vertAlign w:val="superscript"/>
              </w:rPr>
              <w:t>**</w:t>
            </w:r>
          </w:p>
        </w:tc>
        <w:tc>
          <w:tcPr>
            <w:tcW w:w="557" w:type="pct"/>
            <w:tcBorders>
              <w:top w:val="nil"/>
              <w:left w:val="nil"/>
              <w:bottom w:val="nil"/>
              <w:right w:val="nil"/>
            </w:tcBorders>
          </w:tcPr>
          <w:p w14:paraId="6BC6B75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-64.3</w:t>
            </w:r>
            <w:r w:rsidRPr="00A04F75">
              <w:rPr>
                <w:rFonts w:ascii="Times New Roman" w:hAnsi="Times New Roman" w:cs="Times New Roman"/>
                <w:szCs w:val="24"/>
                <w:vertAlign w:val="superscript"/>
              </w:rPr>
              <w:t>**</w:t>
            </w:r>
          </w:p>
        </w:tc>
        <w:tc>
          <w:tcPr>
            <w:tcW w:w="570" w:type="pct"/>
            <w:tcBorders>
              <w:top w:val="nil"/>
              <w:left w:val="nil"/>
              <w:bottom w:val="nil"/>
              <w:right w:val="nil"/>
            </w:tcBorders>
          </w:tcPr>
          <w:p w14:paraId="41751DE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-65.7</w:t>
            </w:r>
            <w:r w:rsidRPr="00A04F75">
              <w:rPr>
                <w:rFonts w:ascii="Times New Roman" w:hAnsi="Times New Roman" w:cs="Times New Roman"/>
                <w:szCs w:val="24"/>
                <w:vertAlign w:val="superscript"/>
              </w:rPr>
              <w:t>**</w:t>
            </w:r>
          </w:p>
        </w:tc>
      </w:tr>
      <w:tr w:rsidR="002A175E" w:rsidRPr="002F3B34" w14:paraId="64DFAAC1" w14:textId="77777777" w:rsidTr="002A175E">
        <w:tc>
          <w:tcPr>
            <w:tcW w:w="1633" w:type="pct"/>
            <w:vMerge/>
            <w:tcBorders>
              <w:left w:val="nil"/>
              <w:bottom w:val="nil"/>
              <w:right w:val="nil"/>
            </w:tcBorders>
          </w:tcPr>
          <w:p w14:paraId="6DC374C4"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E636DA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4773640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0D16D2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D567B97"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(9.06)</w:t>
            </w:r>
          </w:p>
        </w:tc>
        <w:tc>
          <w:tcPr>
            <w:tcW w:w="557" w:type="pct"/>
            <w:tcBorders>
              <w:top w:val="nil"/>
              <w:left w:val="nil"/>
              <w:bottom w:val="nil"/>
              <w:right w:val="nil"/>
            </w:tcBorders>
          </w:tcPr>
          <w:p w14:paraId="29D02FB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(8.96)</w:t>
            </w:r>
          </w:p>
        </w:tc>
        <w:tc>
          <w:tcPr>
            <w:tcW w:w="570" w:type="pct"/>
            <w:tcBorders>
              <w:top w:val="nil"/>
              <w:left w:val="nil"/>
              <w:bottom w:val="nil"/>
              <w:right w:val="nil"/>
            </w:tcBorders>
          </w:tcPr>
          <w:p w14:paraId="32C2591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(9.70)</w:t>
            </w:r>
          </w:p>
        </w:tc>
      </w:tr>
      <w:tr w:rsidR="002A175E" w:rsidRPr="002F3B34" w14:paraId="7E2FF7CF" w14:textId="77777777" w:rsidTr="002A175E">
        <w:tc>
          <w:tcPr>
            <w:tcW w:w="1633" w:type="pct"/>
            <w:tcBorders>
              <w:top w:val="nil"/>
              <w:left w:val="nil"/>
              <w:bottom w:val="nil"/>
              <w:right w:val="nil"/>
            </w:tcBorders>
          </w:tcPr>
          <w:p w14:paraId="73A69630"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8DC94BD"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14306AE"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36409E5"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FDC5102"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521CAA1E"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30B72C6C"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01FADB51" w14:textId="77777777" w:rsidTr="002A175E">
        <w:tc>
          <w:tcPr>
            <w:tcW w:w="1633" w:type="pct"/>
            <w:vMerge w:val="restart"/>
            <w:tcBorders>
              <w:top w:val="nil"/>
              <w:left w:val="nil"/>
              <w:right w:val="nil"/>
            </w:tcBorders>
          </w:tcPr>
          <w:p w14:paraId="1142B278"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IMF bailout active in </w:t>
            </w:r>
            <w:r>
              <w:rPr>
                <w:rFonts w:ascii="Times New Roman" w:hAnsi="Times New Roman" w:cs="Times New Roman"/>
                <w:szCs w:val="24"/>
              </w:rPr>
              <w:t>current year</w:t>
            </w:r>
            <w:r w:rsidRPr="00A04F75">
              <w:rPr>
                <w:rFonts w:ascii="Times New Roman" w:hAnsi="Times New Roman" w:cs="Times New Roman"/>
                <w:szCs w:val="24"/>
              </w:rPr>
              <w:t xml:space="preserve"> </w:t>
            </w:r>
          </w:p>
        </w:tc>
        <w:tc>
          <w:tcPr>
            <w:tcW w:w="560" w:type="pct"/>
            <w:tcBorders>
              <w:top w:val="nil"/>
              <w:left w:val="nil"/>
              <w:bottom w:val="nil"/>
              <w:right w:val="nil"/>
            </w:tcBorders>
          </w:tcPr>
          <w:p w14:paraId="46C5593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BFC98F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448499CA"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E0CA95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36C9F322"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-35.3</w:t>
            </w:r>
            <w:r w:rsidRPr="00A04F75">
              <w:rPr>
                <w:rFonts w:ascii="Times New Roman" w:hAnsi="Times New Roman" w:cs="Times New Roman"/>
                <w:szCs w:val="24"/>
                <w:vertAlign w:val="superscript"/>
              </w:rPr>
              <w:t>**</w:t>
            </w:r>
          </w:p>
        </w:tc>
        <w:tc>
          <w:tcPr>
            <w:tcW w:w="570" w:type="pct"/>
            <w:tcBorders>
              <w:top w:val="nil"/>
              <w:left w:val="nil"/>
              <w:bottom w:val="nil"/>
              <w:right w:val="nil"/>
            </w:tcBorders>
          </w:tcPr>
          <w:p w14:paraId="7C81287A"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-51.3</w:t>
            </w:r>
            <w:r w:rsidRPr="00A04F75">
              <w:rPr>
                <w:rFonts w:ascii="Times New Roman" w:hAnsi="Times New Roman" w:cs="Times New Roman"/>
                <w:szCs w:val="24"/>
                <w:vertAlign w:val="superscript"/>
              </w:rPr>
              <w:t>**</w:t>
            </w:r>
          </w:p>
        </w:tc>
      </w:tr>
      <w:tr w:rsidR="002A175E" w:rsidRPr="002F3B34" w14:paraId="574224C9" w14:textId="77777777" w:rsidTr="002A175E">
        <w:tc>
          <w:tcPr>
            <w:tcW w:w="1633" w:type="pct"/>
            <w:vMerge/>
            <w:tcBorders>
              <w:left w:val="nil"/>
              <w:bottom w:val="nil"/>
              <w:right w:val="nil"/>
            </w:tcBorders>
          </w:tcPr>
          <w:p w14:paraId="0FBC63CF"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94DA437"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42A19C4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4CF663B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35CDF6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3CF2CCB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(12.3)</w:t>
            </w:r>
          </w:p>
        </w:tc>
        <w:tc>
          <w:tcPr>
            <w:tcW w:w="570" w:type="pct"/>
            <w:tcBorders>
              <w:top w:val="nil"/>
              <w:left w:val="nil"/>
              <w:bottom w:val="nil"/>
              <w:right w:val="nil"/>
            </w:tcBorders>
          </w:tcPr>
          <w:p w14:paraId="49A4EDC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(17.8)</w:t>
            </w:r>
          </w:p>
        </w:tc>
      </w:tr>
      <w:tr w:rsidR="002A175E" w:rsidRPr="002F3B34" w14:paraId="239E7775" w14:textId="77777777" w:rsidTr="002A175E">
        <w:tc>
          <w:tcPr>
            <w:tcW w:w="1633" w:type="pct"/>
            <w:tcBorders>
              <w:top w:val="nil"/>
              <w:left w:val="nil"/>
              <w:bottom w:val="nil"/>
              <w:right w:val="nil"/>
            </w:tcBorders>
          </w:tcPr>
          <w:p w14:paraId="1F8A0FC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E8C408E"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595335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7DF93CE"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73621B3"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12B79E0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29364FC1"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18E195B4" w14:textId="77777777" w:rsidTr="002A175E">
        <w:tc>
          <w:tcPr>
            <w:tcW w:w="1633" w:type="pct"/>
            <w:tcBorders>
              <w:top w:val="nil"/>
              <w:left w:val="nil"/>
              <w:bottom w:val="nil"/>
              <w:right w:val="nil"/>
            </w:tcBorders>
          </w:tcPr>
          <w:p w14:paraId="11597CE7"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Left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560" w:type="pct"/>
            <w:tcBorders>
              <w:top w:val="nil"/>
              <w:left w:val="nil"/>
              <w:bottom w:val="nil"/>
              <w:right w:val="nil"/>
            </w:tcBorders>
          </w:tcPr>
          <w:p w14:paraId="311962A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5E9F45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B4E668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9BFE4C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11B8152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5E0FA2B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-24.8</w:t>
            </w:r>
          </w:p>
        </w:tc>
      </w:tr>
      <w:tr w:rsidR="002A175E" w:rsidRPr="002F3B34" w14:paraId="7AB3A203" w14:textId="77777777" w:rsidTr="002A175E">
        <w:tc>
          <w:tcPr>
            <w:tcW w:w="1633" w:type="pct"/>
            <w:tcBorders>
              <w:top w:val="nil"/>
              <w:left w:val="nil"/>
              <w:bottom w:val="nil"/>
              <w:right w:val="nil"/>
            </w:tcBorders>
          </w:tcPr>
          <w:p w14:paraId="2138EAB7"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F913D8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1F2561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8DD4F0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0D2C9802"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02D0328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082E7E6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(12.8)</w:t>
            </w:r>
          </w:p>
        </w:tc>
      </w:tr>
      <w:tr w:rsidR="002A175E" w:rsidRPr="002F3B34" w14:paraId="2BA8F9C7" w14:textId="77777777" w:rsidTr="002A175E">
        <w:tc>
          <w:tcPr>
            <w:tcW w:w="1633" w:type="pct"/>
            <w:tcBorders>
              <w:top w:val="nil"/>
              <w:left w:val="nil"/>
              <w:bottom w:val="nil"/>
              <w:right w:val="nil"/>
            </w:tcBorders>
          </w:tcPr>
          <w:p w14:paraId="585B3C33"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F21497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B0C4B5E"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1B45FFE"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FD35D15"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0AA69EE3"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352A1D0B"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64DC160D" w14:textId="77777777" w:rsidTr="002A175E">
        <w:tc>
          <w:tcPr>
            <w:tcW w:w="1633" w:type="pct"/>
            <w:tcBorders>
              <w:top w:val="nil"/>
              <w:left w:val="nil"/>
              <w:bottom w:val="nil"/>
              <w:right w:val="nil"/>
            </w:tcBorders>
          </w:tcPr>
          <w:p w14:paraId="0C830569"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Right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560" w:type="pct"/>
            <w:tcBorders>
              <w:top w:val="nil"/>
              <w:left w:val="nil"/>
              <w:bottom w:val="nil"/>
              <w:right w:val="nil"/>
            </w:tcBorders>
          </w:tcPr>
          <w:p w14:paraId="197356E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8D89F0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959863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A7FC31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426BA5D7"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36C5FF33"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-20.0</w:t>
            </w:r>
          </w:p>
        </w:tc>
      </w:tr>
      <w:tr w:rsidR="002A175E" w:rsidRPr="002F3B34" w14:paraId="35858512" w14:textId="77777777" w:rsidTr="002A175E">
        <w:tc>
          <w:tcPr>
            <w:tcW w:w="1633" w:type="pct"/>
            <w:tcBorders>
              <w:top w:val="nil"/>
              <w:left w:val="nil"/>
              <w:bottom w:val="nil"/>
              <w:right w:val="nil"/>
            </w:tcBorders>
          </w:tcPr>
          <w:p w14:paraId="6A46D859"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AE6B03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F0203D2"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4B5955B9"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D3A6A28"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0507531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050BECBB"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(16.1)</w:t>
            </w:r>
          </w:p>
        </w:tc>
      </w:tr>
      <w:tr w:rsidR="002A175E" w:rsidRPr="002F3B34" w14:paraId="1E688F06" w14:textId="77777777" w:rsidTr="002A175E">
        <w:tc>
          <w:tcPr>
            <w:tcW w:w="1633" w:type="pct"/>
            <w:tcBorders>
              <w:top w:val="nil"/>
              <w:left w:val="nil"/>
              <w:bottom w:val="nil"/>
              <w:right w:val="nil"/>
            </w:tcBorders>
          </w:tcPr>
          <w:p w14:paraId="5E4ED3C9"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11FB47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85B090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7763C8B"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DFD62A8"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7CBEAFC7"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3A6A6319" w14:textId="77777777" w:rsidR="002A175E" w:rsidRPr="002F3B34" w:rsidRDefault="002A175E" w:rsidP="002A175E">
            <w:pPr>
              <w:widowControl w:val="0"/>
              <w:autoSpaceDE w:val="0"/>
              <w:autoSpaceDN w:val="0"/>
              <w:adjustRightInd w:val="0"/>
              <w:rPr>
                <w:rFonts w:ascii="Times New Roman" w:hAnsi="Times New Roman" w:cs="Times New Roman"/>
                <w:szCs w:val="24"/>
              </w:rPr>
            </w:pPr>
          </w:p>
        </w:tc>
      </w:tr>
      <w:tr w:rsidR="002A175E" w:rsidRPr="002F3B34" w14:paraId="3FEDA246" w14:textId="77777777" w:rsidTr="002A175E">
        <w:tc>
          <w:tcPr>
            <w:tcW w:w="1633" w:type="pct"/>
            <w:tcBorders>
              <w:top w:val="single" w:sz="4" w:space="0" w:color="auto"/>
              <w:left w:val="nil"/>
              <w:right w:val="nil"/>
            </w:tcBorders>
          </w:tcPr>
          <w:p w14:paraId="2C43A3F6"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Country-years</w:t>
            </w:r>
          </w:p>
        </w:tc>
        <w:tc>
          <w:tcPr>
            <w:tcW w:w="560" w:type="pct"/>
            <w:tcBorders>
              <w:top w:val="single" w:sz="4" w:space="0" w:color="auto"/>
              <w:left w:val="nil"/>
              <w:right w:val="nil"/>
            </w:tcBorders>
          </w:tcPr>
          <w:p w14:paraId="39F5D27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409</w:t>
            </w:r>
          </w:p>
        </w:tc>
        <w:tc>
          <w:tcPr>
            <w:tcW w:w="560" w:type="pct"/>
            <w:tcBorders>
              <w:top w:val="single" w:sz="4" w:space="0" w:color="auto"/>
              <w:left w:val="nil"/>
              <w:right w:val="nil"/>
            </w:tcBorders>
          </w:tcPr>
          <w:p w14:paraId="2698A8C7"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397</w:t>
            </w:r>
          </w:p>
        </w:tc>
        <w:tc>
          <w:tcPr>
            <w:tcW w:w="560" w:type="pct"/>
            <w:tcBorders>
              <w:top w:val="single" w:sz="4" w:space="0" w:color="auto"/>
              <w:left w:val="nil"/>
              <w:right w:val="nil"/>
            </w:tcBorders>
          </w:tcPr>
          <w:p w14:paraId="498FA9F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391</w:t>
            </w:r>
          </w:p>
        </w:tc>
        <w:tc>
          <w:tcPr>
            <w:tcW w:w="560" w:type="pct"/>
            <w:tcBorders>
              <w:top w:val="single" w:sz="4" w:space="0" w:color="auto"/>
              <w:left w:val="nil"/>
              <w:right w:val="nil"/>
            </w:tcBorders>
          </w:tcPr>
          <w:p w14:paraId="27775F9D"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391</w:t>
            </w:r>
          </w:p>
        </w:tc>
        <w:tc>
          <w:tcPr>
            <w:tcW w:w="557" w:type="pct"/>
            <w:tcBorders>
              <w:top w:val="single" w:sz="4" w:space="0" w:color="auto"/>
              <w:left w:val="nil"/>
              <w:right w:val="nil"/>
            </w:tcBorders>
          </w:tcPr>
          <w:p w14:paraId="299BD47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391</w:t>
            </w:r>
          </w:p>
        </w:tc>
        <w:tc>
          <w:tcPr>
            <w:tcW w:w="570" w:type="pct"/>
            <w:tcBorders>
              <w:top w:val="single" w:sz="4" w:space="0" w:color="auto"/>
              <w:left w:val="nil"/>
              <w:right w:val="nil"/>
            </w:tcBorders>
          </w:tcPr>
          <w:p w14:paraId="5A31B4B0"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339</w:t>
            </w:r>
          </w:p>
        </w:tc>
      </w:tr>
      <w:tr w:rsidR="002A175E" w:rsidRPr="002F3B34" w14:paraId="488FC272" w14:textId="77777777" w:rsidTr="002A175E">
        <w:tc>
          <w:tcPr>
            <w:tcW w:w="1633" w:type="pct"/>
            <w:tcBorders>
              <w:top w:val="nil"/>
              <w:left w:val="nil"/>
              <w:right w:val="nil"/>
            </w:tcBorders>
          </w:tcPr>
          <w:p w14:paraId="1A772535" w14:textId="77777777" w:rsidR="002A175E" w:rsidRPr="002F3B34" w:rsidRDefault="002A175E" w:rsidP="002A175E">
            <w:pPr>
              <w:widowControl w:val="0"/>
              <w:autoSpaceDE w:val="0"/>
              <w:autoSpaceDN w:val="0"/>
              <w:adjustRightInd w:val="0"/>
              <w:rPr>
                <w:rFonts w:ascii="Times New Roman" w:hAnsi="Times New Roman" w:cs="Times New Roman"/>
                <w:iCs/>
                <w:szCs w:val="24"/>
              </w:rPr>
            </w:pPr>
            <w:r w:rsidRPr="002F3B34">
              <w:rPr>
                <w:rFonts w:ascii="Times New Roman" w:hAnsi="Times New Roman" w:cs="Times New Roman"/>
                <w:iCs/>
                <w:szCs w:val="24"/>
              </w:rPr>
              <w:t>Countries</w:t>
            </w:r>
          </w:p>
        </w:tc>
        <w:tc>
          <w:tcPr>
            <w:tcW w:w="560" w:type="pct"/>
            <w:tcBorders>
              <w:top w:val="nil"/>
              <w:left w:val="nil"/>
              <w:right w:val="nil"/>
            </w:tcBorders>
          </w:tcPr>
          <w:p w14:paraId="67DB2A8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560" w:type="pct"/>
            <w:tcBorders>
              <w:top w:val="nil"/>
              <w:left w:val="nil"/>
              <w:right w:val="nil"/>
            </w:tcBorders>
          </w:tcPr>
          <w:p w14:paraId="5DFC94A7"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560" w:type="pct"/>
            <w:tcBorders>
              <w:top w:val="nil"/>
              <w:left w:val="nil"/>
              <w:right w:val="nil"/>
            </w:tcBorders>
          </w:tcPr>
          <w:p w14:paraId="3DDFA94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560" w:type="pct"/>
            <w:tcBorders>
              <w:top w:val="nil"/>
              <w:left w:val="nil"/>
              <w:right w:val="nil"/>
            </w:tcBorders>
          </w:tcPr>
          <w:p w14:paraId="486ED89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557" w:type="pct"/>
            <w:tcBorders>
              <w:top w:val="nil"/>
              <w:left w:val="nil"/>
              <w:right w:val="nil"/>
            </w:tcBorders>
          </w:tcPr>
          <w:p w14:paraId="5F7929F2"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c>
          <w:tcPr>
            <w:tcW w:w="570" w:type="pct"/>
            <w:tcBorders>
              <w:top w:val="nil"/>
              <w:left w:val="nil"/>
              <w:right w:val="nil"/>
            </w:tcBorders>
          </w:tcPr>
          <w:p w14:paraId="464B0F1E"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w:t>
            </w:r>
          </w:p>
        </w:tc>
      </w:tr>
      <w:tr w:rsidR="002A175E" w:rsidRPr="002F3B34" w14:paraId="4F170F5B" w14:textId="77777777" w:rsidTr="002A175E">
        <w:tc>
          <w:tcPr>
            <w:tcW w:w="1633" w:type="pct"/>
            <w:tcBorders>
              <w:left w:val="nil"/>
              <w:bottom w:val="single" w:sz="4" w:space="0" w:color="auto"/>
              <w:right w:val="nil"/>
            </w:tcBorders>
          </w:tcPr>
          <w:p w14:paraId="4E23735E" w14:textId="77777777" w:rsidR="002A175E" w:rsidRPr="002F3B34" w:rsidRDefault="002A175E" w:rsidP="002A175E">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i/>
                <w:iCs/>
                <w:szCs w:val="24"/>
              </w:rPr>
              <w:t>R</w:t>
            </w:r>
            <w:r w:rsidRPr="002F3B34">
              <w:rPr>
                <w:rFonts w:ascii="Times New Roman" w:hAnsi="Times New Roman" w:cs="Times New Roman"/>
                <w:szCs w:val="24"/>
                <w:vertAlign w:val="superscript"/>
              </w:rPr>
              <w:t>2</w:t>
            </w:r>
          </w:p>
        </w:tc>
        <w:tc>
          <w:tcPr>
            <w:tcW w:w="560" w:type="pct"/>
            <w:tcBorders>
              <w:left w:val="nil"/>
              <w:bottom w:val="single" w:sz="4" w:space="0" w:color="auto"/>
              <w:right w:val="nil"/>
            </w:tcBorders>
          </w:tcPr>
          <w:p w14:paraId="410DC2D4"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0.046</w:t>
            </w:r>
          </w:p>
        </w:tc>
        <w:tc>
          <w:tcPr>
            <w:tcW w:w="560" w:type="pct"/>
            <w:tcBorders>
              <w:left w:val="nil"/>
              <w:bottom w:val="single" w:sz="4" w:space="0" w:color="auto"/>
              <w:right w:val="nil"/>
            </w:tcBorders>
          </w:tcPr>
          <w:p w14:paraId="47F80526"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0.099</w:t>
            </w:r>
          </w:p>
        </w:tc>
        <w:tc>
          <w:tcPr>
            <w:tcW w:w="560" w:type="pct"/>
            <w:tcBorders>
              <w:left w:val="nil"/>
              <w:bottom w:val="single" w:sz="4" w:space="0" w:color="auto"/>
              <w:right w:val="nil"/>
            </w:tcBorders>
          </w:tcPr>
          <w:p w14:paraId="10EA5D3F"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0.10</w:t>
            </w:r>
          </w:p>
        </w:tc>
        <w:tc>
          <w:tcPr>
            <w:tcW w:w="560" w:type="pct"/>
            <w:tcBorders>
              <w:left w:val="nil"/>
              <w:bottom w:val="single" w:sz="4" w:space="0" w:color="auto"/>
              <w:right w:val="nil"/>
            </w:tcBorders>
          </w:tcPr>
          <w:p w14:paraId="0A07F695"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0.23</w:t>
            </w:r>
          </w:p>
        </w:tc>
        <w:tc>
          <w:tcPr>
            <w:tcW w:w="557" w:type="pct"/>
            <w:tcBorders>
              <w:left w:val="nil"/>
              <w:bottom w:val="single" w:sz="4" w:space="0" w:color="auto"/>
              <w:right w:val="nil"/>
            </w:tcBorders>
          </w:tcPr>
          <w:p w14:paraId="6E8B6A8C"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0.25</w:t>
            </w:r>
          </w:p>
        </w:tc>
        <w:tc>
          <w:tcPr>
            <w:tcW w:w="570" w:type="pct"/>
            <w:tcBorders>
              <w:left w:val="nil"/>
              <w:bottom w:val="single" w:sz="4" w:space="0" w:color="auto"/>
              <w:right w:val="nil"/>
            </w:tcBorders>
          </w:tcPr>
          <w:p w14:paraId="75837471" w14:textId="77777777" w:rsidR="002A175E" w:rsidRPr="002F3B34"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0.28</w:t>
            </w:r>
          </w:p>
        </w:tc>
      </w:tr>
    </w:tbl>
    <w:p w14:paraId="42B4FD16" w14:textId="77777777" w:rsidR="0049545D" w:rsidRPr="002A175E" w:rsidRDefault="0049545D" w:rsidP="00A84EB0">
      <w:pPr>
        <w:widowControl w:val="0"/>
        <w:autoSpaceDE w:val="0"/>
        <w:autoSpaceDN w:val="0"/>
        <w:adjustRightInd w:val="0"/>
        <w:rPr>
          <w:rFonts w:ascii="Times New Roman" w:hAnsi="Times New Roman" w:cs="Times New Roman"/>
          <w:sz w:val="20"/>
          <w:szCs w:val="20"/>
        </w:rPr>
      </w:pPr>
      <w:r w:rsidRPr="00A84EB0">
        <w:rPr>
          <w:rFonts w:ascii="Times New Roman" w:hAnsi="Times New Roman" w:cs="Times New Roman"/>
          <w:i/>
          <w:sz w:val="20"/>
          <w:szCs w:val="20"/>
        </w:rPr>
        <w:t>Notes:</w:t>
      </w:r>
      <w:r w:rsidR="002A175E" w:rsidRPr="00A84EB0">
        <w:rPr>
          <w:rFonts w:ascii="Times New Roman" w:hAnsi="Times New Roman" w:cs="Times New Roman"/>
          <w:i/>
          <w:sz w:val="20"/>
          <w:szCs w:val="20"/>
        </w:rPr>
        <w:t xml:space="preserve"> </w:t>
      </w:r>
      <w:r w:rsidR="006245D6" w:rsidRPr="002A175E">
        <w:rPr>
          <w:rFonts w:ascii="Times New Roman" w:hAnsi="Times New Roman" w:cs="Times New Roman"/>
          <w:sz w:val="20"/>
          <w:szCs w:val="20"/>
        </w:rPr>
        <w:t>Source: EuroStat 2013 edition, IMF MONA 2013 edition, World Bank Political Institutions Database 2013 edition.</w:t>
      </w:r>
    </w:p>
    <w:p w14:paraId="345E0577" w14:textId="77777777" w:rsidR="00AC4DBD" w:rsidRPr="002F3B34" w:rsidRDefault="00AC4DBD" w:rsidP="00AC4DBD">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 xml:space="preserve">Standard errors in parentheses: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0.05, ** </w:t>
      </w:r>
      <w:r w:rsidRPr="002F3B34">
        <w:rPr>
          <w:rFonts w:ascii="Times New Roman" w:hAnsi="Times New Roman" w:cs="Times New Roman"/>
          <w:i/>
          <w:iCs/>
          <w:sz w:val="20"/>
          <w:szCs w:val="20"/>
        </w:rPr>
        <w:t>p</w:t>
      </w:r>
      <w:r w:rsidR="00A009B8" w:rsidRPr="002F3B34">
        <w:rPr>
          <w:rFonts w:ascii="Times New Roman" w:hAnsi="Times New Roman" w:cs="Times New Roman"/>
          <w:sz w:val="20"/>
          <w:szCs w:val="20"/>
        </w:rPr>
        <w:t xml:space="preserve"> &lt; 0.01 </w:t>
      </w:r>
    </w:p>
    <w:p w14:paraId="16048338" w14:textId="77777777" w:rsidR="006D3D69" w:rsidRPr="006D3D69" w:rsidRDefault="006D3D69" w:rsidP="006937C8">
      <w:pPr>
        <w:widowControl w:val="0"/>
        <w:autoSpaceDE w:val="0"/>
        <w:autoSpaceDN w:val="0"/>
        <w:adjustRightInd w:val="0"/>
        <w:rPr>
          <w:rFonts w:ascii="Times New Roman" w:hAnsi="Times New Roman" w:cs="Times New Roman"/>
          <w:bCs/>
          <w:sz w:val="20"/>
          <w:szCs w:val="20"/>
        </w:rPr>
      </w:pPr>
      <w:r w:rsidRPr="006D3D69">
        <w:rPr>
          <w:rFonts w:ascii="Times New Roman" w:hAnsi="Times New Roman" w:cs="Times New Roman"/>
          <w:bCs/>
          <w:sz w:val="20"/>
          <w:szCs w:val="20"/>
          <w:vertAlign w:val="superscript"/>
        </w:rPr>
        <w:t xml:space="preserve">† </w:t>
      </w:r>
      <w:r w:rsidRPr="006D3D69">
        <w:rPr>
          <w:rFonts w:ascii="Times New Roman" w:hAnsi="Times New Roman" w:cs="Times New Roman"/>
          <w:bCs/>
          <w:sz w:val="20"/>
          <w:szCs w:val="20"/>
        </w:rPr>
        <w:t>- units in real per capita, in constant purchasing-power-parity USD</w:t>
      </w:r>
    </w:p>
    <w:p w14:paraId="462ABEC7" w14:textId="77777777" w:rsidR="00AC4DBD" w:rsidRPr="002F3B34" w:rsidRDefault="00A009B8" w:rsidP="00AC4DBD">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 xml:space="preserve">˚ Baseline category is Centre. </w:t>
      </w:r>
      <w:r w:rsidR="00C10BE4" w:rsidRPr="00C10BE4">
        <w:rPr>
          <w:rFonts w:ascii="Times New Roman" w:hAnsi="Times New Roman" w:cs="Times New Roman"/>
          <w:sz w:val="20"/>
          <w:szCs w:val="20"/>
        </w:rPr>
        <w:t xml:space="preserve">Taken from the World Bank Political Institutions database, </w:t>
      </w:r>
      <w:r w:rsidRPr="002F3B34">
        <w:rPr>
          <w:rFonts w:ascii="Times New Roman" w:hAnsi="Times New Roman" w:cs="Times New Roman"/>
          <w:sz w:val="20"/>
          <w:szCs w:val="20"/>
        </w:rPr>
        <w:t xml:space="preserve">Left </w:t>
      </w:r>
      <w:r w:rsidR="00C10BE4" w:rsidRPr="00C10BE4">
        <w:rPr>
          <w:rFonts w:ascii="Times New Roman" w:hAnsi="Times New Roman" w:cs="Times New Roman"/>
          <w:sz w:val="20"/>
          <w:szCs w:val="20"/>
        </w:rPr>
        <w:t xml:space="preserve">governing party </w:t>
      </w:r>
      <w:r w:rsidRPr="002F3B34">
        <w:rPr>
          <w:rFonts w:ascii="Times New Roman" w:hAnsi="Times New Roman" w:cs="Times New Roman"/>
          <w:sz w:val="20"/>
          <w:szCs w:val="20"/>
        </w:rPr>
        <w:t>and Right</w:t>
      </w:r>
      <w:r w:rsidR="00C10BE4" w:rsidRPr="00C10BE4">
        <w:rPr>
          <w:rFonts w:ascii="Times New Roman" w:hAnsi="Times New Roman" w:cs="Times New Roman"/>
          <w:sz w:val="20"/>
          <w:szCs w:val="20"/>
        </w:rPr>
        <w:t xml:space="preserve"> governing party</w:t>
      </w:r>
      <w:r w:rsidRPr="002F3B34">
        <w:rPr>
          <w:rFonts w:ascii="Times New Roman" w:hAnsi="Times New Roman" w:cs="Times New Roman"/>
          <w:sz w:val="20"/>
          <w:szCs w:val="20"/>
        </w:rPr>
        <w:t xml:space="preserve"> are measures of the economic ideology of the governing party (or the party whose leader is head of a coalition) derived from party manifestos.</w:t>
      </w:r>
    </w:p>
    <w:p w14:paraId="70E5C469" w14:textId="77777777" w:rsidR="004F25D5" w:rsidRPr="002F3B34" w:rsidRDefault="00A009B8" w:rsidP="00A84EB0">
      <w:pPr>
        <w:rPr>
          <w:rFonts w:ascii="Times New Roman" w:hAnsi="Times New Roman" w:cs="Times New Roman"/>
          <w:sz w:val="20"/>
          <w:szCs w:val="20"/>
        </w:rPr>
      </w:pPr>
      <w:r w:rsidRPr="002F3B34">
        <w:rPr>
          <w:rFonts w:ascii="Times New Roman" w:hAnsi="Times New Roman" w:cs="Times New Roman"/>
          <w:sz w:val="20"/>
          <w:szCs w:val="20"/>
        </w:rPr>
        <w:t>IMF bailouts include Stand-by Arrangements, usually short-term lending</w:t>
      </w:r>
      <w:r w:rsidR="006D3D69" w:rsidRPr="006D3D69">
        <w:rPr>
          <w:rFonts w:ascii="Times New Roman" w:hAnsi="Times New Roman" w:cs="Times New Roman"/>
          <w:sz w:val="20"/>
          <w:szCs w:val="20"/>
        </w:rPr>
        <w:t xml:space="preserve"> to states to cover the effect of unanticipated shocks</w:t>
      </w:r>
      <w:r w:rsidRPr="002F3B34">
        <w:rPr>
          <w:rFonts w:ascii="Times New Roman" w:hAnsi="Times New Roman" w:cs="Times New Roman"/>
          <w:sz w:val="20"/>
          <w:szCs w:val="20"/>
        </w:rPr>
        <w:t xml:space="preserve">, and Extended Fund Facilities, which are usually medium- or long-term lending programmes aimed at overcoming </w:t>
      </w:r>
      <w:r w:rsidR="006D3D69" w:rsidRPr="006D3D69">
        <w:rPr>
          <w:rFonts w:ascii="Times New Roman" w:hAnsi="Times New Roman" w:cs="Times New Roman"/>
          <w:sz w:val="20"/>
          <w:szCs w:val="20"/>
        </w:rPr>
        <w:t xml:space="preserve">weaknesses in the national economy which may have precipitated or exacerbated the shock.   </w:t>
      </w:r>
      <w:r w:rsidRPr="002F3B34">
        <w:rPr>
          <w:rFonts w:ascii="Times New Roman" w:hAnsi="Times New Roman" w:cs="Times New Roman"/>
          <w:sz w:val="20"/>
          <w:szCs w:val="20"/>
        </w:rPr>
        <w:br w:type="page"/>
      </w:r>
    </w:p>
    <w:p w14:paraId="39ACF478" w14:textId="77777777" w:rsidR="002A175E" w:rsidRPr="002A175E" w:rsidRDefault="00BE348E" w:rsidP="006937C8">
      <w:pPr>
        <w:rPr>
          <w:rFonts w:ascii="Times New Roman" w:hAnsi="Times New Roman"/>
          <w:bCs/>
          <w:szCs w:val="24"/>
        </w:rPr>
      </w:pPr>
      <w:r w:rsidRPr="002F3B34">
        <w:rPr>
          <w:rFonts w:ascii="Times New Roman" w:hAnsi="Times New Roman" w:cs="Times New Roman"/>
          <w:szCs w:val="24"/>
        </w:rPr>
        <w:t xml:space="preserve">Web Appendix </w:t>
      </w:r>
      <w:r w:rsidRPr="00A04F75">
        <w:rPr>
          <w:rFonts w:ascii="Times New Roman" w:hAnsi="Times New Roman" w:cs="Times New Roman"/>
          <w:szCs w:val="24"/>
        </w:rPr>
        <w:t>1</w:t>
      </w:r>
      <w:r w:rsidR="000F05DE" w:rsidRPr="00A04F75">
        <w:rPr>
          <w:rFonts w:ascii="Times New Roman" w:hAnsi="Times New Roman" w:cs="Times New Roman"/>
          <w:szCs w:val="24"/>
        </w:rPr>
        <w:t>0</w:t>
      </w:r>
      <w:r w:rsidR="006937C8" w:rsidRPr="002F3B34">
        <w:rPr>
          <w:rFonts w:ascii="Times New Roman" w:hAnsi="Times New Roman" w:cs="Times New Roman"/>
          <w:szCs w:val="24"/>
        </w:rPr>
        <w:t xml:space="preserve">: Economic and political determinants of annual change in health spending among </w:t>
      </w:r>
      <w:r w:rsidR="00585500" w:rsidRPr="00585500">
        <w:rPr>
          <w:rFonts w:ascii="Times New Roman" w:hAnsi="Times New Roman"/>
          <w:bCs/>
          <w:szCs w:val="24"/>
        </w:rPr>
        <w:t>27</w:t>
      </w:r>
      <w:r w:rsidR="006937C8" w:rsidRPr="002F3B34">
        <w:rPr>
          <w:rFonts w:ascii="Times New Roman" w:hAnsi="Times New Roman" w:cs="Times New Roman"/>
          <w:szCs w:val="24"/>
        </w:rPr>
        <w:t xml:space="preserve"> EU countries, 1995-2011</w:t>
      </w:r>
      <w:r w:rsidR="00585500" w:rsidRPr="00585500">
        <w:rPr>
          <w:rFonts w:ascii="Times New Roman" w:hAnsi="Times New Roman"/>
          <w:bCs/>
          <w:szCs w:val="24"/>
        </w:rPr>
        <w:t>, adjusted for annual change in government spending</w:t>
      </w:r>
    </w:p>
    <w:tbl>
      <w:tblPr>
        <w:tblW w:w="5000" w:type="pct"/>
        <w:tblLayout w:type="fixed"/>
        <w:tblLook w:val="0000" w:firstRow="0" w:lastRow="0" w:firstColumn="0" w:lastColumn="0" w:noHBand="0" w:noVBand="0"/>
      </w:tblPr>
      <w:tblGrid>
        <w:gridCol w:w="3018"/>
        <w:gridCol w:w="1035"/>
        <w:gridCol w:w="1035"/>
        <w:gridCol w:w="1035"/>
        <w:gridCol w:w="1035"/>
        <w:gridCol w:w="1030"/>
        <w:gridCol w:w="1054"/>
      </w:tblGrid>
      <w:tr w:rsidR="002A175E" w:rsidRPr="002A175E" w14:paraId="69A08445" w14:textId="77777777" w:rsidTr="002A175E">
        <w:tc>
          <w:tcPr>
            <w:tcW w:w="1633" w:type="pct"/>
            <w:tcBorders>
              <w:top w:val="single" w:sz="4" w:space="0" w:color="auto"/>
              <w:left w:val="nil"/>
              <w:right w:val="nil"/>
            </w:tcBorders>
          </w:tcPr>
          <w:p w14:paraId="3B2B710B" w14:textId="77777777" w:rsidR="002A175E" w:rsidRPr="00A84EB0" w:rsidRDefault="002A175E" w:rsidP="002A175E">
            <w:pPr>
              <w:rPr>
                <w:rFonts w:ascii="Times New Roman" w:hAnsi="Times New Roman" w:cs="Times New Roman"/>
                <w:szCs w:val="24"/>
              </w:rPr>
            </w:pPr>
          </w:p>
        </w:tc>
        <w:tc>
          <w:tcPr>
            <w:tcW w:w="3367" w:type="pct"/>
            <w:gridSpan w:val="6"/>
            <w:tcBorders>
              <w:top w:val="single" w:sz="4" w:space="0" w:color="auto"/>
              <w:left w:val="nil"/>
              <w:right w:val="nil"/>
            </w:tcBorders>
          </w:tcPr>
          <w:p w14:paraId="0C9C777C"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 xml:space="preserve">Annual change in health spending </w:t>
            </w:r>
            <w:r w:rsidRPr="00A84EB0">
              <w:rPr>
                <w:rFonts w:ascii="Times New Roman" w:hAnsi="Times New Roman" w:cs="Times New Roman"/>
                <w:bCs/>
                <w:szCs w:val="24"/>
                <w:vertAlign w:val="superscript"/>
              </w:rPr>
              <w:t>†</w:t>
            </w:r>
          </w:p>
        </w:tc>
      </w:tr>
      <w:tr w:rsidR="002A175E" w:rsidRPr="002A175E" w14:paraId="322D85AD" w14:textId="77777777" w:rsidTr="002A175E">
        <w:tc>
          <w:tcPr>
            <w:tcW w:w="1633" w:type="pct"/>
            <w:tcBorders>
              <w:left w:val="nil"/>
              <w:bottom w:val="nil"/>
              <w:right w:val="nil"/>
            </w:tcBorders>
          </w:tcPr>
          <w:p w14:paraId="4DFF3C0F" w14:textId="77777777" w:rsidR="002A175E" w:rsidRPr="00A84EB0" w:rsidRDefault="002A175E" w:rsidP="002A175E">
            <w:pPr>
              <w:rPr>
                <w:rFonts w:ascii="Times New Roman" w:hAnsi="Times New Roman" w:cs="Times New Roman"/>
                <w:szCs w:val="24"/>
              </w:rPr>
            </w:pPr>
            <w:r w:rsidRPr="00A84EB0">
              <w:rPr>
                <w:rFonts w:ascii="Times New Roman" w:hAnsi="Times New Roman" w:cs="Times New Roman"/>
                <w:szCs w:val="24"/>
              </w:rPr>
              <w:t>Covariates</w:t>
            </w:r>
          </w:p>
        </w:tc>
        <w:tc>
          <w:tcPr>
            <w:tcW w:w="560" w:type="pct"/>
            <w:tcBorders>
              <w:left w:val="nil"/>
              <w:bottom w:val="nil"/>
              <w:right w:val="nil"/>
            </w:tcBorders>
          </w:tcPr>
          <w:p w14:paraId="53AFE1FE"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(1)</w:t>
            </w:r>
          </w:p>
        </w:tc>
        <w:tc>
          <w:tcPr>
            <w:tcW w:w="560" w:type="pct"/>
            <w:tcBorders>
              <w:left w:val="nil"/>
              <w:bottom w:val="nil"/>
              <w:right w:val="nil"/>
            </w:tcBorders>
          </w:tcPr>
          <w:p w14:paraId="1D7D9F3F"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(2)</w:t>
            </w:r>
          </w:p>
        </w:tc>
        <w:tc>
          <w:tcPr>
            <w:tcW w:w="560" w:type="pct"/>
            <w:tcBorders>
              <w:left w:val="nil"/>
              <w:bottom w:val="nil"/>
              <w:right w:val="nil"/>
            </w:tcBorders>
          </w:tcPr>
          <w:p w14:paraId="775302C8"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(3)</w:t>
            </w:r>
          </w:p>
        </w:tc>
        <w:tc>
          <w:tcPr>
            <w:tcW w:w="560" w:type="pct"/>
            <w:tcBorders>
              <w:left w:val="nil"/>
              <w:bottom w:val="nil"/>
              <w:right w:val="nil"/>
            </w:tcBorders>
          </w:tcPr>
          <w:p w14:paraId="469EBD20"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(4)</w:t>
            </w:r>
          </w:p>
        </w:tc>
        <w:tc>
          <w:tcPr>
            <w:tcW w:w="557" w:type="pct"/>
            <w:tcBorders>
              <w:left w:val="nil"/>
              <w:bottom w:val="nil"/>
              <w:right w:val="nil"/>
            </w:tcBorders>
          </w:tcPr>
          <w:p w14:paraId="52CA41E0"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(5)</w:t>
            </w:r>
          </w:p>
        </w:tc>
        <w:tc>
          <w:tcPr>
            <w:tcW w:w="570" w:type="pct"/>
            <w:tcBorders>
              <w:left w:val="nil"/>
              <w:bottom w:val="nil"/>
              <w:right w:val="nil"/>
            </w:tcBorders>
          </w:tcPr>
          <w:p w14:paraId="344E12A1"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(6)</w:t>
            </w:r>
          </w:p>
        </w:tc>
      </w:tr>
      <w:tr w:rsidR="002A175E" w:rsidRPr="002A175E" w14:paraId="31DC8822" w14:textId="77777777" w:rsidTr="002A175E">
        <w:tc>
          <w:tcPr>
            <w:tcW w:w="1633" w:type="pct"/>
            <w:vMerge w:val="restart"/>
            <w:tcBorders>
              <w:top w:val="single" w:sz="4" w:space="0" w:color="auto"/>
              <w:left w:val="nil"/>
              <w:right w:val="nil"/>
            </w:tcBorders>
          </w:tcPr>
          <w:p w14:paraId="176E19DD" w14:textId="77777777" w:rsidR="002A175E" w:rsidRPr="00A84EB0" w:rsidRDefault="002A175E" w:rsidP="002A175E">
            <w:pPr>
              <w:rPr>
                <w:rFonts w:ascii="Times New Roman" w:hAnsi="Times New Roman" w:cs="Times New Roman"/>
                <w:szCs w:val="24"/>
              </w:rPr>
            </w:pPr>
            <w:r w:rsidRPr="00A84EB0">
              <w:rPr>
                <w:rFonts w:ascii="Times New Roman" w:hAnsi="Times New Roman" w:cs="Times New Roman"/>
                <w:szCs w:val="24"/>
              </w:rPr>
              <w:t xml:space="preserve">$10 </w:t>
            </w:r>
            <w:r w:rsidRPr="00A84EB0">
              <w:rPr>
                <w:rFonts w:ascii="Times New Roman" w:hAnsi="Times New Roman" w:cs="Times New Roman"/>
                <w:bCs/>
                <w:szCs w:val="24"/>
              </w:rPr>
              <w:t>annual increase</w:t>
            </w:r>
            <w:r w:rsidRPr="00A84EB0">
              <w:rPr>
                <w:rFonts w:ascii="Times New Roman" w:hAnsi="Times New Roman" w:cs="Times New Roman"/>
                <w:szCs w:val="24"/>
              </w:rPr>
              <w:t xml:space="preserve"> in GDP</w:t>
            </w:r>
            <w:r w:rsidRPr="00A84EB0">
              <w:rPr>
                <w:rFonts w:ascii="Times New Roman" w:hAnsi="Times New Roman" w:cs="Times New Roman"/>
                <w:bCs/>
                <w:szCs w:val="24"/>
                <w:vertAlign w:val="superscript"/>
              </w:rPr>
              <w:t>†</w:t>
            </w:r>
          </w:p>
        </w:tc>
        <w:tc>
          <w:tcPr>
            <w:tcW w:w="560" w:type="pct"/>
            <w:tcBorders>
              <w:top w:val="single" w:sz="4" w:space="0" w:color="auto"/>
              <w:left w:val="nil"/>
              <w:bottom w:val="nil"/>
              <w:right w:val="nil"/>
            </w:tcBorders>
          </w:tcPr>
          <w:p w14:paraId="75E2E8DB"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28</w:t>
            </w:r>
            <w:r w:rsidRPr="00A84EB0">
              <w:rPr>
                <w:rFonts w:ascii="Times New Roman" w:hAnsi="Times New Roman" w:cs="Times New Roman"/>
                <w:bCs/>
                <w:szCs w:val="24"/>
                <w:vertAlign w:val="superscript"/>
              </w:rPr>
              <w:t>**</w:t>
            </w:r>
          </w:p>
        </w:tc>
        <w:tc>
          <w:tcPr>
            <w:tcW w:w="560" w:type="pct"/>
            <w:tcBorders>
              <w:top w:val="single" w:sz="4" w:space="0" w:color="auto"/>
              <w:left w:val="nil"/>
              <w:bottom w:val="nil"/>
              <w:right w:val="nil"/>
            </w:tcBorders>
          </w:tcPr>
          <w:p w14:paraId="1D0C14E5"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23</w:t>
            </w:r>
            <w:r w:rsidRPr="00A84EB0">
              <w:rPr>
                <w:rFonts w:ascii="Times New Roman" w:hAnsi="Times New Roman" w:cs="Times New Roman"/>
                <w:bCs/>
                <w:szCs w:val="24"/>
                <w:vertAlign w:val="superscript"/>
              </w:rPr>
              <w:t>*</w:t>
            </w:r>
          </w:p>
        </w:tc>
        <w:tc>
          <w:tcPr>
            <w:tcW w:w="560" w:type="pct"/>
            <w:tcBorders>
              <w:top w:val="single" w:sz="4" w:space="0" w:color="auto"/>
              <w:left w:val="nil"/>
              <w:bottom w:val="nil"/>
              <w:right w:val="nil"/>
            </w:tcBorders>
          </w:tcPr>
          <w:p w14:paraId="738A4811"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21</w:t>
            </w:r>
            <w:r w:rsidRPr="00A84EB0">
              <w:rPr>
                <w:rFonts w:ascii="Times New Roman" w:hAnsi="Times New Roman" w:cs="Times New Roman"/>
                <w:bCs/>
                <w:szCs w:val="24"/>
                <w:vertAlign w:val="superscript"/>
              </w:rPr>
              <w:t>*</w:t>
            </w:r>
          </w:p>
        </w:tc>
        <w:tc>
          <w:tcPr>
            <w:tcW w:w="560" w:type="pct"/>
            <w:tcBorders>
              <w:top w:val="single" w:sz="4" w:space="0" w:color="auto"/>
              <w:left w:val="nil"/>
              <w:bottom w:val="nil"/>
              <w:right w:val="nil"/>
            </w:tcBorders>
          </w:tcPr>
          <w:p w14:paraId="1AFB9AD5"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15</w:t>
            </w:r>
          </w:p>
        </w:tc>
        <w:tc>
          <w:tcPr>
            <w:tcW w:w="557" w:type="pct"/>
            <w:tcBorders>
              <w:top w:val="single" w:sz="4" w:space="0" w:color="auto"/>
              <w:left w:val="nil"/>
              <w:bottom w:val="nil"/>
              <w:right w:val="nil"/>
            </w:tcBorders>
          </w:tcPr>
          <w:p w14:paraId="416F8B29"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14</w:t>
            </w:r>
          </w:p>
        </w:tc>
        <w:tc>
          <w:tcPr>
            <w:tcW w:w="570" w:type="pct"/>
            <w:tcBorders>
              <w:top w:val="single" w:sz="4" w:space="0" w:color="auto"/>
              <w:left w:val="nil"/>
              <w:bottom w:val="nil"/>
              <w:right w:val="nil"/>
            </w:tcBorders>
          </w:tcPr>
          <w:p w14:paraId="6F3A7D0F"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13</w:t>
            </w:r>
          </w:p>
        </w:tc>
      </w:tr>
      <w:tr w:rsidR="002A175E" w:rsidRPr="002A175E" w14:paraId="3F054002" w14:textId="77777777" w:rsidTr="002A175E">
        <w:tc>
          <w:tcPr>
            <w:tcW w:w="1633" w:type="pct"/>
            <w:vMerge/>
            <w:tcBorders>
              <w:left w:val="nil"/>
              <w:right w:val="nil"/>
            </w:tcBorders>
          </w:tcPr>
          <w:p w14:paraId="745F588A"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08D49E52"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099</w:t>
            </w:r>
            <w:r w:rsidRPr="00A84EB0">
              <w:rPr>
                <w:rFonts w:ascii="Times New Roman" w:hAnsi="Times New Roman" w:cs="Times New Roman"/>
                <w:szCs w:val="24"/>
              </w:rPr>
              <w:t>)</w:t>
            </w:r>
          </w:p>
        </w:tc>
        <w:tc>
          <w:tcPr>
            <w:tcW w:w="560" w:type="pct"/>
            <w:tcBorders>
              <w:top w:val="nil"/>
              <w:left w:val="nil"/>
              <w:bottom w:val="nil"/>
              <w:right w:val="nil"/>
            </w:tcBorders>
          </w:tcPr>
          <w:p w14:paraId="5FCA70C0"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095</w:t>
            </w:r>
            <w:r w:rsidRPr="00A84EB0">
              <w:rPr>
                <w:rFonts w:ascii="Times New Roman" w:hAnsi="Times New Roman" w:cs="Times New Roman"/>
                <w:szCs w:val="24"/>
              </w:rPr>
              <w:t>)</w:t>
            </w:r>
          </w:p>
        </w:tc>
        <w:tc>
          <w:tcPr>
            <w:tcW w:w="560" w:type="pct"/>
            <w:tcBorders>
              <w:top w:val="nil"/>
              <w:left w:val="nil"/>
              <w:bottom w:val="nil"/>
              <w:right w:val="nil"/>
            </w:tcBorders>
          </w:tcPr>
          <w:p w14:paraId="74546218"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096</w:t>
            </w:r>
            <w:r w:rsidRPr="00A84EB0">
              <w:rPr>
                <w:rFonts w:ascii="Times New Roman" w:hAnsi="Times New Roman" w:cs="Times New Roman"/>
                <w:szCs w:val="24"/>
              </w:rPr>
              <w:t>)</w:t>
            </w:r>
          </w:p>
        </w:tc>
        <w:tc>
          <w:tcPr>
            <w:tcW w:w="560" w:type="pct"/>
            <w:tcBorders>
              <w:top w:val="nil"/>
              <w:left w:val="nil"/>
              <w:bottom w:val="nil"/>
              <w:right w:val="nil"/>
            </w:tcBorders>
          </w:tcPr>
          <w:p w14:paraId="64442595"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088</w:t>
            </w:r>
            <w:r w:rsidRPr="00A84EB0">
              <w:rPr>
                <w:rFonts w:ascii="Times New Roman" w:hAnsi="Times New Roman" w:cs="Times New Roman"/>
                <w:szCs w:val="24"/>
              </w:rPr>
              <w:t>)</w:t>
            </w:r>
          </w:p>
        </w:tc>
        <w:tc>
          <w:tcPr>
            <w:tcW w:w="557" w:type="pct"/>
            <w:tcBorders>
              <w:top w:val="nil"/>
              <w:left w:val="nil"/>
              <w:bottom w:val="nil"/>
              <w:right w:val="nil"/>
            </w:tcBorders>
          </w:tcPr>
          <w:p w14:paraId="2562B081"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087</w:t>
            </w:r>
            <w:r w:rsidRPr="00A84EB0">
              <w:rPr>
                <w:rFonts w:ascii="Times New Roman" w:hAnsi="Times New Roman" w:cs="Times New Roman"/>
                <w:szCs w:val="24"/>
              </w:rPr>
              <w:t>)</w:t>
            </w:r>
          </w:p>
        </w:tc>
        <w:tc>
          <w:tcPr>
            <w:tcW w:w="570" w:type="pct"/>
            <w:tcBorders>
              <w:top w:val="nil"/>
              <w:left w:val="nil"/>
              <w:bottom w:val="nil"/>
              <w:right w:val="nil"/>
            </w:tcBorders>
          </w:tcPr>
          <w:p w14:paraId="561A0381"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085</w:t>
            </w:r>
            <w:r w:rsidRPr="00A84EB0">
              <w:rPr>
                <w:rFonts w:ascii="Times New Roman" w:hAnsi="Times New Roman" w:cs="Times New Roman"/>
                <w:szCs w:val="24"/>
              </w:rPr>
              <w:t>)</w:t>
            </w:r>
          </w:p>
        </w:tc>
      </w:tr>
      <w:tr w:rsidR="002A175E" w:rsidRPr="002A175E" w14:paraId="4F2B41FE" w14:textId="77777777" w:rsidTr="002A175E">
        <w:tc>
          <w:tcPr>
            <w:tcW w:w="1633" w:type="pct"/>
            <w:vMerge/>
            <w:tcBorders>
              <w:left w:val="nil"/>
              <w:bottom w:val="nil"/>
              <w:right w:val="nil"/>
            </w:tcBorders>
          </w:tcPr>
          <w:p w14:paraId="477565E4"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7DD2BB82"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87068B5"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B6DB29C"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A69CFC2"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38540B16"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0B3A1B05" w14:textId="77777777" w:rsidR="002A175E" w:rsidRPr="00A84EB0" w:rsidRDefault="002A175E" w:rsidP="00A84EB0">
            <w:pPr>
              <w:jc w:val="center"/>
              <w:rPr>
                <w:rFonts w:ascii="Times New Roman" w:hAnsi="Times New Roman" w:cs="Times New Roman"/>
                <w:szCs w:val="24"/>
              </w:rPr>
            </w:pPr>
          </w:p>
        </w:tc>
      </w:tr>
      <w:tr w:rsidR="002A175E" w:rsidRPr="002A175E" w14:paraId="77CE2666" w14:textId="77777777" w:rsidTr="002A175E">
        <w:tc>
          <w:tcPr>
            <w:tcW w:w="1633" w:type="pct"/>
            <w:vMerge w:val="restart"/>
            <w:tcBorders>
              <w:top w:val="nil"/>
              <w:left w:val="nil"/>
              <w:right w:val="nil"/>
            </w:tcBorders>
          </w:tcPr>
          <w:p w14:paraId="498F896F" w14:textId="77777777" w:rsidR="002A175E" w:rsidRPr="00A84EB0" w:rsidRDefault="002A175E" w:rsidP="002A175E">
            <w:pPr>
              <w:rPr>
                <w:rFonts w:ascii="Times New Roman" w:hAnsi="Times New Roman" w:cs="Times New Roman"/>
                <w:szCs w:val="24"/>
              </w:rPr>
            </w:pPr>
            <w:r w:rsidRPr="00A84EB0">
              <w:rPr>
                <w:rFonts w:ascii="Times New Roman" w:hAnsi="Times New Roman" w:cs="Times New Roman"/>
                <w:szCs w:val="24"/>
              </w:rPr>
              <w:t xml:space="preserve">$100 </w:t>
            </w:r>
            <w:r w:rsidRPr="00A84EB0">
              <w:rPr>
                <w:rFonts w:ascii="Times New Roman" w:hAnsi="Times New Roman" w:cs="Times New Roman"/>
                <w:bCs/>
                <w:szCs w:val="24"/>
              </w:rPr>
              <w:t xml:space="preserve">annual </w:t>
            </w:r>
            <w:r w:rsidRPr="00A84EB0">
              <w:rPr>
                <w:rFonts w:ascii="Times New Roman" w:hAnsi="Times New Roman" w:cs="Times New Roman"/>
                <w:szCs w:val="24"/>
              </w:rPr>
              <w:t xml:space="preserve">increase in </w:t>
            </w:r>
            <w:r w:rsidRPr="00A84EB0">
              <w:rPr>
                <w:rFonts w:ascii="Times New Roman" w:hAnsi="Times New Roman" w:cs="Times New Roman"/>
                <w:bCs/>
                <w:szCs w:val="24"/>
              </w:rPr>
              <w:t>tax</w:t>
            </w:r>
            <w:r w:rsidRPr="00A84EB0">
              <w:rPr>
                <w:rFonts w:ascii="Times New Roman" w:hAnsi="Times New Roman" w:cs="Times New Roman"/>
                <w:szCs w:val="24"/>
              </w:rPr>
              <w:t xml:space="preserve"> revenue</w:t>
            </w:r>
            <w:r w:rsidRPr="00A84EB0">
              <w:rPr>
                <w:rFonts w:ascii="Times New Roman" w:hAnsi="Times New Roman" w:cs="Times New Roman"/>
                <w:bCs/>
                <w:szCs w:val="24"/>
                <w:vertAlign w:val="superscript"/>
              </w:rPr>
              <w:t>†</w:t>
            </w:r>
          </w:p>
        </w:tc>
        <w:tc>
          <w:tcPr>
            <w:tcW w:w="560" w:type="pct"/>
            <w:tcBorders>
              <w:top w:val="nil"/>
              <w:left w:val="nil"/>
              <w:bottom w:val="nil"/>
              <w:right w:val="nil"/>
            </w:tcBorders>
          </w:tcPr>
          <w:p w14:paraId="22985133"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86FDE41"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4.05</w:t>
            </w:r>
            <w:r w:rsidRPr="00A84EB0">
              <w:rPr>
                <w:rFonts w:ascii="Times New Roman" w:hAnsi="Times New Roman" w:cs="Times New Roman"/>
                <w:bCs/>
                <w:szCs w:val="24"/>
                <w:vertAlign w:val="superscript"/>
              </w:rPr>
              <w:t>**</w:t>
            </w:r>
          </w:p>
        </w:tc>
        <w:tc>
          <w:tcPr>
            <w:tcW w:w="560" w:type="pct"/>
            <w:tcBorders>
              <w:top w:val="nil"/>
              <w:left w:val="nil"/>
              <w:bottom w:val="nil"/>
              <w:right w:val="nil"/>
            </w:tcBorders>
          </w:tcPr>
          <w:p w14:paraId="06AE3D75"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4.11</w:t>
            </w:r>
            <w:r w:rsidRPr="00A84EB0">
              <w:rPr>
                <w:rFonts w:ascii="Times New Roman" w:hAnsi="Times New Roman" w:cs="Times New Roman"/>
                <w:bCs/>
                <w:szCs w:val="24"/>
                <w:vertAlign w:val="superscript"/>
              </w:rPr>
              <w:t>**</w:t>
            </w:r>
          </w:p>
        </w:tc>
        <w:tc>
          <w:tcPr>
            <w:tcW w:w="560" w:type="pct"/>
            <w:tcBorders>
              <w:top w:val="nil"/>
              <w:left w:val="nil"/>
              <w:bottom w:val="nil"/>
              <w:right w:val="nil"/>
            </w:tcBorders>
          </w:tcPr>
          <w:p w14:paraId="65785CCF"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3.57</w:t>
            </w:r>
            <w:r w:rsidRPr="00A84EB0">
              <w:rPr>
                <w:rFonts w:ascii="Times New Roman" w:hAnsi="Times New Roman" w:cs="Times New Roman"/>
                <w:bCs/>
                <w:szCs w:val="24"/>
                <w:vertAlign w:val="superscript"/>
              </w:rPr>
              <w:t>**</w:t>
            </w:r>
          </w:p>
        </w:tc>
        <w:tc>
          <w:tcPr>
            <w:tcW w:w="557" w:type="pct"/>
            <w:tcBorders>
              <w:top w:val="nil"/>
              <w:left w:val="nil"/>
              <w:bottom w:val="nil"/>
              <w:right w:val="nil"/>
            </w:tcBorders>
          </w:tcPr>
          <w:p w14:paraId="558D70F3"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3.35</w:t>
            </w:r>
            <w:r w:rsidRPr="00A84EB0">
              <w:rPr>
                <w:rFonts w:ascii="Times New Roman" w:hAnsi="Times New Roman" w:cs="Times New Roman"/>
                <w:bCs/>
                <w:szCs w:val="24"/>
                <w:vertAlign w:val="superscript"/>
              </w:rPr>
              <w:t>**</w:t>
            </w:r>
          </w:p>
        </w:tc>
        <w:tc>
          <w:tcPr>
            <w:tcW w:w="570" w:type="pct"/>
            <w:tcBorders>
              <w:top w:val="nil"/>
              <w:left w:val="nil"/>
              <w:bottom w:val="nil"/>
              <w:right w:val="nil"/>
            </w:tcBorders>
          </w:tcPr>
          <w:p w14:paraId="2E330EDE"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3.27</w:t>
            </w:r>
            <w:r w:rsidRPr="00A84EB0">
              <w:rPr>
                <w:rFonts w:ascii="Times New Roman" w:hAnsi="Times New Roman" w:cs="Times New Roman"/>
                <w:bCs/>
                <w:szCs w:val="24"/>
                <w:vertAlign w:val="superscript"/>
              </w:rPr>
              <w:t>**</w:t>
            </w:r>
          </w:p>
        </w:tc>
      </w:tr>
      <w:tr w:rsidR="002A175E" w:rsidRPr="002A175E" w14:paraId="28FE9765" w14:textId="77777777" w:rsidTr="002A175E">
        <w:trPr>
          <w:trHeight w:val="315"/>
        </w:trPr>
        <w:tc>
          <w:tcPr>
            <w:tcW w:w="1633" w:type="pct"/>
            <w:vMerge/>
            <w:tcBorders>
              <w:left w:val="nil"/>
              <w:bottom w:val="nil"/>
              <w:right w:val="nil"/>
            </w:tcBorders>
          </w:tcPr>
          <w:p w14:paraId="3AA40965"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420948B9"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937C3A9"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1.08</w:t>
            </w:r>
            <w:r w:rsidRPr="00A84EB0">
              <w:rPr>
                <w:rFonts w:ascii="Times New Roman" w:hAnsi="Times New Roman" w:cs="Times New Roman"/>
                <w:szCs w:val="24"/>
              </w:rPr>
              <w:t>)</w:t>
            </w:r>
          </w:p>
        </w:tc>
        <w:tc>
          <w:tcPr>
            <w:tcW w:w="560" w:type="pct"/>
            <w:tcBorders>
              <w:top w:val="nil"/>
              <w:left w:val="nil"/>
              <w:bottom w:val="nil"/>
              <w:right w:val="nil"/>
            </w:tcBorders>
          </w:tcPr>
          <w:p w14:paraId="6B5A1E28"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1.07</w:t>
            </w:r>
            <w:r w:rsidRPr="00A84EB0">
              <w:rPr>
                <w:rFonts w:ascii="Times New Roman" w:hAnsi="Times New Roman" w:cs="Times New Roman"/>
                <w:szCs w:val="24"/>
              </w:rPr>
              <w:t>)</w:t>
            </w:r>
          </w:p>
        </w:tc>
        <w:tc>
          <w:tcPr>
            <w:tcW w:w="560" w:type="pct"/>
            <w:tcBorders>
              <w:top w:val="nil"/>
              <w:left w:val="nil"/>
              <w:bottom w:val="nil"/>
              <w:right w:val="nil"/>
            </w:tcBorders>
          </w:tcPr>
          <w:p w14:paraId="7B43D6CB"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77</w:t>
            </w:r>
            <w:r w:rsidRPr="00A84EB0">
              <w:rPr>
                <w:rFonts w:ascii="Times New Roman" w:hAnsi="Times New Roman" w:cs="Times New Roman"/>
                <w:szCs w:val="24"/>
              </w:rPr>
              <w:t>)</w:t>
            </w:r>
          </w:p>
        </w:tc>
        <w:tc>
          <w:tcPr>
            <w:tcW w:w="557" w:type="pct"/>
            <w:tcBorders>
              <w:top w:val="nil"/>
              <w:left w:val="nil"/>
              <w:bottom w:val="nil"/>
              <w:right w:val="nil"/>
            </w:tcBorders>
          </w:tcPr>
          <w:p w14:paraId="74942A18"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80</w:t>
            </w:r>
            <w:r w:rsidRPr="00A84EB0">
              <w:rPr>
                <w:rFonts w:ascii="Times New Roman" w:hAnsi="Times New Roman" w:cs="Times New Roman"/>
                <w:szCs w:val="24"/>
              </w:rPr>
              <w:t>)</w:t>
            </w:r>
          </w:p>
        </w:tc>
        <w:tc>
          <w:tcPr>
            <w:tcW w:w="570" w:type="pct"/>
            <w:tcBorders>
              <w:top w:val="nil"/>
              <w:left w:val="nil"/>
              <w:bottom w:val="nil"/>
              <w:right w:val="nil"/>
            </w:tcBorders>
          </w:tcPr>
          <w:p w14:paraId="731FE0C3"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83</w:t>
            </w:r>
            <w:r w:rsidRPr="00A84EB0">
              <w:rPr>
                <w:rFonts w:ascii="Times New Roman" w:hAnsi="Times New Roman" w:cs="Times New Roman"/>
                <w:szCs w:val="24"/>
              </w:rPr>
              <w:t>)</w:t>
            </w:r>
          </w:p>
        </w:tc>
      </w:tr>
      <w:tr w:rsidR="002A175E" w:rsidRPr="002A175E" w14:paraId="443139B7" w14:textId="77777777" w:rsidTr="002A175E">
        <w:tc>
          <w:tcPr>
            <w:tcW w:w="1633" w:type="pct"/>
            <w:tcBorders>
              <w:top w:val="nil"/>
              <w:left w:val="nil"/>
              <w:bottom w:val="nil"/>
              <w:right w:val="nil"/>
            </w:tcBorders>
          </w:tcPr>
          <w:p w14:paraId="4A02CF96"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68E29BC9"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587F563E"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81C7BC4"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7C4CF9D"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045DA9D5"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18490428" w14:textId="77777777" w:rsidR="002A175E" w:rsidRPr="00A84EB0" w:rsidRDefault="002A175E" w:rsidP="00A84EB0">
            <w:pPr>
              <w:jc w:val="center"/>
              <w:rPr>
                <w:rFonts w:ascii="Times New Roman" w:hAnsi="Times New Roman" w:cs="Times New Roman"/>
                <w:szCs w:val="24"/>
              </w:rPr>
            </w:pPr>
          </w:p>
        </w:tc>
      </w:tr>
      <w:tr w:rsidR="00877629" w:rsidRPr="002A175E" w14:paraId="45277083" w14:textId="77777777" w:rsidTr="00EE1250">
        <w:tc>
          <w:tcPr>
            <w:tcW w:w="1633" w:type="pct"/>
            <w:vMerge w:val="restart"/>
            <w:tcBorders>
              <w:top w:val="nil"/>
              <w:left w:val="nil"/>
              <w:right w:val="nil"/>
            </w:tcBorders>
          </w:tcPr>
          <w:p w14:paraId="2F7FEA63" w14:textId="77777777" w:rsidR="00877629" w:rsidRPr="00A84EB0" w:rsidRDefault="00877629" w:rsidP="002A175E">
            <w:pPr>
              <w:rPr>
                <w:rFonts w:ascii="Times New Roman" w:hAnsi="Times New Roman" w:cs="Times New Roman"/>
                <w:szCs w:val="24"/>
              </w:rPr>
            </w:pPr>
            <w:r w:rsidRPr="00877629">
              <w:rPr>
                <w:rFonts w:ascii="Times New Roman" w:hAnsi="Times New Roman" w:cs="Times New Roman"/>
                <w:szCs w:val="24"/>
              </w:rPr>
              <w:t>Public debt as percentage of GDP in the previous year</w:t>
            </w:r>
          </w:p>
        </w:tc>
        <w:tc>
          <w:tcPr>
            <w:tcW w:w="560" w:type="pct"/>
            <w:tcBorders>
              <w:top w:val="nil"/>
              <w:left w:val="nil"/>
              <w:bottom w:val="nil"/>
              <w:right w:val="nil"/>
            </w:tcBorders>
          </w:tcPr>
          <w:p w14:paraId="594FA7B0" w14:textId="77777777" w:rsidR="00877629" w:rsidRPr="00A84EB0" w:rsidRDefault="00877629" w:rsidP="00A84EB0">
            <w:pPr>
              <w:jc w:val="center"/>
              <w:rPr>
                <w:rFonts w:ascii="Times New Roman" w:hAnsi="Times New Roman" w:cs="Times New Roman"/>
                <w:szCs w:val="24"/>
              </w:rPr>
            </w:pPr>
          </w:p>
        </w:tc>
        <w:tc>
          <w:tcPr>
            <w:tcW w:w="560" w:type="pct"/>
            <w:tcBorders>
              <w:top w:val="nil"/>
              <w:left w:val="nil"/>
              <w:bottom w:val="nil"/>
              <w:right w:val="nil"/>
            </w:tcBorders>
          </w:tcPr>
          <w:p w14:paraId="5FE0EEF7" w14:textId="77777777" w:rsidR="00877629" w:rsidRPr="00A84EB0" w:rsidRDefault="00877629" w:rsidP="00A84EB0">
            <w:pPr>
              <w:jc w:val="center"/>
              <w:rPr>
                <w:rFonts w:ascii="Times New Roman" w:hAnsi="Times New Roman" w:cs="Times New Roman"/>
                <w:szCs w:val="24"/>
              </w:rPr>
            </w:pPr>
          </w:p>
        </w:tc>
        <w:tc>
          <w:tcPr>
            <w:tcW w:w="560" w:type="pct"/>
            <w:tcBorders>
              <w:top w:val="nil"/>
              <w:left w:val="nil"/>
              <w:bottom w:val="nil"/>
              <w:right w:val="nil"/>
            </w:tcBorders>
          </w:tcPr>
          <w:p w14:paraId="533C6660" w14:textId="77777777" w:rsidR="00877629" w:rsidRPr="00A84EB0" w:rsidRDefault="00877629"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041</w:t>
            </w:r>
          </w:p>
        </w:tc>
        <w:tc>
          <w:tcPr>
            <w:tcW w:w="560" w:type="pct"/>
            <w:tcBorders>
              <w:top w:val="nil"/>
              <w:left w:val="nil"/>
              <w:bottom w:val="nil"/>
              <w:right w:val="nil"/>
            </w:tcBorders>
          </w:tcPr>
          <w:p w14:paraId="4F305940" w14:textId="77777777" w:rsidR="00877629" w:rsidRPr="00A84EB0" w:rsidRDefault="00877629"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074</w:t>
            </w:r>
          </w:p>
        </w:tc>
        <w:tc>
          <w:tcPr>
            <w:tcW w:w="557" w:type="pct"/>
            <w:tcBorders>
              <w:top w:val="nil"/>
              <w:left w:val="nil"/>
              <w:bottom w:val="nil"/>
              <w:right w:val="nil"/>
            </w:tcBorders>
          </w:tcPr>
          <w:p w14:paraId="0CDCC711" w14:textId="77777777" w:rsidR="00877629" w:rsidRPr="00A84EB0" w:rsidRDefault="00877629"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036</w:t>
            </w:r>
          </w:p>
        </w:tc>
        <w:tc>
          <w:tcPr>
            <w:tcW w:w="570" w:type="pct"/>
            <w:tcBorders>
              <w:top w:val="nil"/>
              <w:left w:val="nil"/>
              <w:bottom w:val="nil"/>
              <w:right w:val="nil"/>
            </w:tcBorders>
          </w:tcPr>
          <w:p w14:paraId="0CCD9059" w14:textId="77777777" w:rsidR="00877629" w:rsidRPr="00A84EB0" w:rsidRDefault="00877629"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053</w:t>
            </w:r>
          </w:p>
        </w:tc>
      </w:tr>
      <w:tr w:rsidR="00877629" w:rsidRPr="002A175E" w14:paraId="3F7BE45A" w14:textId="77777777" w:rsidTr="00EE1250">
        <w:tc>
          <w:tcPr>
            <w:tcW w:w="1633" w:type="pct"/>
            <w:vMerge/>
            <w:tcBorders>
              <w:left w:val="nil"/>
              <w:bottom w:val="nil"/>
              <w:right w:val="nil"/>
            </w:tcBorders>
          </w:tcPr>
          <w:p w14:paraId="151424B0" w14:textId="77777777" w:rsidR="00877629" w:rsidRPr="00A84EB0" w:rsidRDefault="00877629" w:rsidP="002A175E">
            <w:pPr>
              <w:rPr>
                <w:rFonts w:ascii="Times New Roman" w:hAnsi="Times New Roman" w:cs="Times New Roman"/>
                <w:szCs w:val="24"/>
              </w:rPr>
            </w:pPr>
          </w:p>
        </w:tc>
        <w:tc>
          <w:tcPr>
            <w:tcW w:w="560" w:type="pct"/>
            <w:tcBorders>
              <w:top w:val="nil"/>
              <w:left w:val="nil"/>
              <w:bottom w:val="nil"/>
              <w:right w:val="nil"/>
            </w:tcBorders>
          </w:tcPr>
          <w:p w14:paraId="40D03846" w14:textId="77777777" w:rsidR="00877629" w:rsidRPr="00A84EB0" w:rsidRDefault="00877629" w:rsidP="00A84EB0">
            <w:pPr>
              <w:jc w:val="center"/>
              <w:rPr>
                <w:rFonts w:ascii="Times New Roman" w:hAnsi="Times New Roman" w:cs="Times New Roman"/>
                <w:szCs w:val="24"/>
              </w:rPr>
            </w:pPr>
          </w:p>
        </w:tc>
        <w:tc>
          <w:tcPr>
            <w:tcW w:w="560" w:type="pct"/>
            <w:tcBorders>
              <w:top w:val="nil"/>
              <w:left w:val="nil"/>
              <w:bottom w:val="nil"/>
              <w:right w:val="nil"/>
            </w:tcBorders>
          </w:tcPr>
          <w:p w14:paraId="0F0BA216" w14:textId="77777777" w:rsidR="00877629" w:rsidRPr="00A84EB0" w:rsidRDefault="00877629" w:rsidP="00A84EB0">
            <w:pPr>
              <w:jc w:val="center"/>
              <w:rPr>
                <w:rFonts w:ascii="Times New Roman" w:hAnsi="Times New Roman" w:cs="Times New Roman"/>
                <w:szCs w:val="24"/>
              </w:rPr>
            </w:pPr>
          </w:p>
        </w:tc>
        <w:tc>
          <w:tcPr>
            <w:tcW w:w="560" w:type="pct"/>
            <w:tcBorders>
              <w:top w:val="nil"/>
              <w:left w:val="nil"/>
              <w:bottom w:val="nil"/>
              <w:right w:val="nil"/>
            </w:tcBorders>
          </w:tcPr>
          <w:p w14:paraId="4C55D280" w14:textId="77777777" w:rsidR="00877629" w:rsidRPr="00A84EB0" w:rsidRDefault="00877629"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14</w:t>
            </w:r>
            <w:r w:rsidRPr="00A84EB0">
              <w:rPr>
                <w:rFonts w:ascii="Times New Roman" w:hAnsi="Times New Roman" w:cs="Times New Roman"/>
                <w:szCs w:val="24"/>
              </w:rPr>
              <w:t>)</w:t>
            </w:r>
          </w:p>
        </w:tc>
        <w:tc>
          <w:tcPr>
            <w:tcW w:w="560" w:type="pct"/>
            <w:tcBorders>
              <w:top w:val="nil"/>
              <w:left w:val="nil"/>
              <w:bottom w:val="nil"/>
              <w:right w:val="nil"/>
            </w:tcBorders>
          </w:tcPr>
          <w:p w14:paraId="13794E4C" w14:textId="77777777" w:rsidR="00877629" w:rsidRPr="00A84EB0" w:rsidRDefault="00877629"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14</w:t>
            </w:r>
            <w:r w:rsidRPr="00A84EB0">
              <w:rPr>
                <w:rFonts w:ascii="Times New Roman" w:hAnsi="Times New Roman" w:cs="Times New Roman"/>
                <w:szCs w:val="24"/>
              </w:rPr>
              <w:t>)</w:t>
            </w:r>
          </w:p>
        </w:tc>
        <w:tc>
          <w:tcPr>
            <w:tcW w:w="557" w:type="pct"/>
            <w:tcBorders>
              <w:top w:val="nil"/>
              <w:left w:val="nil"/>
              <w:bottom w:val="nil"/>
              <w:right w:val="nil"/>
            </w:tcBorders>
          </w:tcPr>
          <w:p w14:paraId="2FBD6C43" w14:textId="77777777" w:rsidR="00877629" w:rsidRPr="00A84EB0" w:rsidRDefault="00877629"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15</w:t>
            </w:r>
            <w:r w:rsidRPr="00A84EB0">
              <w:rPr>
                <w:rFonts w:ascii="Times New Roman" w:hAnsi="Times New Roman" w:cs="Times New Roman"/>
                <w:szCs w:val="24"/>
              </w:rPr>
              <w:t>)</w:t>
            </w:r>
          </w:p>
        </w:tc>
        <w:tc>
          <w:tcPr>
            <w:tcW w:w="570" w:type="pct"/>
            <w:tcBorders>
              <w:top w:val="nil"/>
              <w:left w:val="nil"/>
              <w:bottom w:val="nil"/>
              <w:right w:val="nil"/>
            </w:tcBorders>
          </w:tcPr>
          <w:p w14:paraId="10EF1817" w14:textId="77777777" w:rsidR="00877629" w:rsidRPr="00A84EB0" w:rsidRDefault="00877629"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18</w:t>
            </w:r>
            <w:r w:rsidRPr="00A84EB0">
              <w:rPr>
                <w:rFonts w:ascii="Times New Roman" w:hAnsi="Times New Roman" w:cs="Times New Roman"/>
                <w:szCs w:val="24"/>
              </w:rPr>
              <w:t>)</w:t>
            </w:r>
          </w:p>
        </w:tc>
      </w:tr>
      <w:tr w:rsidR="002A175E" w:rsidRPr="002A175E" w14:paraId="0FBC17CC" w14:textId="77777777" w:rsidTr="002A175E">
        <w:tc>
          <w:tcPr>
            <w:tcW w:w="1633" w:type="pct"/>
            <w:tcBorders>
              <w:top w:val="nil"/>
              <w:left w:val="nil"/>
              <w:bottom w:val="nil"/>
              <w:right w:val="nil"/>
            </w:tcBorders>
          </w:tcPr>
          <w:p w14:paraId="0EF41ACD"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45B4F69A"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A653A67"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87E4DB2"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0777C0F"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52DF0F7C"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5261DF30" w14:textId="77777777" w:rsidR="002A175E" w:rsidRPr="00A84EB0" w:rsidRDefault="002A175E" w:rsidP="00A84EB0">
            <w:pPr>
              <w:jc w:val="center"/>
              <w:rPr>
                <w:rFonts w:ascii="Times New Roman" w:hAnsi="Times New Roman" w:cs="Times New Roman"/>
                <w:szCs w:val="24"/>
              </w:rPr>
            </w:pPr>
          </w:p>
        </w:tc>
      </w:tr>
      <w:tr w:rsidR="002A175E" w:rsidRPr="002A175E" w14:paraId="26D9E38D" w14:textId="77777777" w:rsidTr="002A175E">
        <w:tc>
          <w:tcPr>
            <w:tcW w:w="1633" w:type="pct"/>
            <w:vMerge w:val="restart"/>
            <w:tcBorders>
              <w:top w:val="nil"/>
              <w:left w:val="nil"/>
              <w:right w:val="nil"/>
            </w:tcBorders>
          </w:tcPr>
          <w:p w14:paraId="3DE99B0A" w14:textId="77777777" w:rsidR="002A175E" w:rsidRPr="00A84EB0" w:rsidRDefault="002A175E" w:rsidP="002A175E">
            <w:pPr>
              <w:rPr>
                <w:rFonts w:ascii="Times New Roman" w:hAnsi="Times New Roman" w:cs="Times New Roman"/>
                <w:szCs w:val="24"/>
              </w:rPr>
            </w:pPr>
            <w:r w:rsidRPr="00A84EB0">
              <w:rPr>
                <w:rFonts w:ascii="Times New Roman" w:hAnsi="Times New Roman" w:cs="Times New Roman"/>
                <w:bCs/>
                <w:szCs w:val="24"/>
              </w:rPr>
              <w:t>$10 annual increase in Government spending</w:t>
            </w:r>
            <w:r w:rsidRPr="00A84EB0">
              <w:rPr>
                <w:rFonts w:ascii="Times New Roman" w:hAnsi="Times New Roman" w:cs="Times New Roman"/>
                <w:bCs/>
                <w:szCs w:val="24"/>
                <w:vertAlign w:val="superscript"/>
              </w:rPr>
              <w:t>†</w:t>
            </w:r>
          </w:p>
        </w:tc>
        <w:tc>
          <w:tcPr>
            <w:tcW w:w="560" w:type="pct"/>
            <w:tcBorders>
              <w:top w:val="nil"/>
              <w:left w:val="nil"/>
              <w:bottom w:val="nil"/>
              <w:right w:val="nil"/>
            </w:tcBorders>
          </w:tcPr>
          <w:p w14:paraId="45EDB5BC"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B61C4BD"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0C55F87"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EEE81DB"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0.51</w:t>
            </w:r>
            <w:r w:rsidRPr="00A84EB0">
              <w:rPr>
                <w:rFonts w:ascii="Times New Roman" w:hAnsi="Times New Roman" w:cs="Times New Roman"/>
                <w:szCs w:val="24"/>
                <w:vertAlign w:val="superscript"/>
              </w:rPr>
              <w:t>*</w:t>
            </w:r>
          </w:p>
        </w:tc>
        <w:tc>
          <w:tcPr>
            <w:tcW w:w="557" w:type="pct"/>
            <w:tcBorders>
              <w:top w:val="nil"/>
              <w:left w:val="nil"/>
              <w:bottom w:val="nil"/>
              <w:right w:val="nil"/>
            </w:tcBorders>
          </w:tcPr>
          <w:p w14:paraId="0EF870CD"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0.49</w:t>
            </w:r>
            <w:r w:rsidRPr="00A84EB0">
              <w:rPr>
                <w:rFonts w:ascii="Times New Roman" w:hAnsi="Times New Roman" w:cs="Times New Roman"/>
                <w:szCs w:val="24"/>
                <w:vertAlign w:val="superscript"/>
              </w:rPr>
              <w:t>*</w:t>
            </w:r>
          </w:p>
        </w:tc>
        <w:tc>
          <w:tcPr>
            <w:tcW w:w="570" w:type="pct"/>
            <w:tcBorders>
              <w:top w:val="nil"/>
              <w:left w:val="nil"/>
              <w:bottom w:val="nil"/>
              <w:right w:val="nil"/>
            </w:tcBorders>
          </w:tcPr>
          <w:p w14:paraId="6C0C16F7"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0.48</w:t>
            </w:r>
            <w:r w:rsidRPr="00A84EB0">
              <w:rPr>
                <w:rFonts w:ascii="Times New Roman" w:hAnsi="Times New Roman" w:cs="Times New Roman"/>
                <w:szCs w:val="24"/>
                <w:vertAlign w:val="superscript"/>
              </w:rPr>
              <w:t>*</w:t>
            </w:r>
          </w:p>
        </w:tc>
      </w:tr>
      <w:tr w:rsidR="002A175E" w:rsidRPr="002A175E" w14:paraId="2886E511" w14:textId="77777777" w:rsidTr="002A175E">
        <w:tc>
          <w:tcPr>
            <w:tcW w:w="1633" w:type="pct"/>
            <w:vMerge/>
            <w:tcBorders>
              <w:left w:val="nil"/>
              <w:bottom w:val="nil"/>
              <w:right w:val="nil"/>
            </w:tcBorders>
          </w:tcPr>
          <w:p w14:paraId="0FFB63FA"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3A3739CC"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3B127FD"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E580FCA"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362B464"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0.19</w:t>
            </w:r>
            <w:r w:rsidRPr="00A84EB0">
              <w:rPr>
                <w:rFonts w:ascii="Times New Roman" w:hAnsi="Times New Roman" w:cs="Times New Roman"/>
                <w:szCs w:val="24"/>
              </w:rPr>
              <w:t>)</w:t>
            </w:r>
          </w:p>
        </w:tc>
        <w:tc>
          <w:tcPr>
            <w:tcW w:w="557" w:type="pct"/>
            <w:tcBorders>
              <w:top w:val="nil"/>
              <w:left w:val="nil"/>
              <w:bottom w:val="nil"/>
              <w:right w:val="nil"/>
            </w:tcBorders>
          </w:tcPr>
          <w:p w14:paraId="3CAF2B7B"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0.20</w:t>
            </w:r>
            <w:r w:rsidRPr="00A84EB0">
              <w:rPr>
                <w:rFonts w:ascii="Times New Roman" w:hAnsi="Times New Roman" w:cs="Times New Roman"/>
                <w:szCs w:val="24"/>
              </w:rPr>
              <w:t>)</w:t>
            </w:r>
          </w:p>
        </w:tc>
        <w:tc>
          <w:tcPr>
            <w:tcW w:w="570" w:type="pct"/>
            <w:tcBorders>
              <w:top w:val="nil"/>
              <w:left w:val="nil"/>
              <w:bottom w:val="nil"/>
              <w:right w:val="nil"/>
            </w:tcBorders>
          </w:tcPr>
          <w:p w14:paraId="2723EEA5"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0.21</w:t>
            </w:r>
            <w:r w:rsidRPr="00A84EB0">
              <w:rPr>
                <w:rFonts w:ascii="Times New Roman" w:hAnsi="Times New Roman" w:cs="Times New Roman"/>
                <w:szCs w:val="24"/>
              </w:rPr>
              <w:t>)</w:t>
            </w:r>
          </w:p>
        </w:tc>
      </w:tr>
      <w:tr w:rsidR="002A175E" w:rsidRPr="002A175E" w14:paraId="65328101" w14:textId="77777777" w:rsidTr="002A175E">
        <w:tc>
          <w:tcPr>
            <w:tcW w:w="1633" w:type="pct"/>
            <w:tcBorders>
              <w:top w:val="nil"/>
              <w:left w:val="nil"/>
              <w:bottom w:val="nil"/>
              <w:right w:val="nil"/>
            </w:tcBorders>
          </w:tcPr>
          <w:p w14:paraId="5A0E8EB2"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7B85347A"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03B2927"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38A68852"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7C892BF"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14B284E1"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1FA056E6" w14:textId="77777777" w:rsidR="002A175E" w:rsidRPr="00A84EB0" w:rsidRDefault="002A175E" w:rsidP="00A84EB0">
            <w:pPr>
              <w:jc w:val="center"/>
              <w:rPr>
                <w:rFonts w:ascii="Times New Roman" w:hAnsi="Times New Roman" w:cs="Times New Roman"/>
                <w:szCs w:val="24"/>
              </w:rPr>
            </w:pPr>
          </w:p>
        </w:tc>
      </w:tr>
      <w:tr w:rsidR="002A175E" w:rsidRPr="002A175E" w14:paraId="0B47B1A3" w14:textId="77777777" w:rsidTr="002A175E">
        <w:tc>
          <w:tcPr>
            <w:tcW w:w="1633" w:type="pct"/>
            <w:tcBorders>
              <w:top w:val="nil"/>
              <w:left w:val="nil"/>
              <w:bottom w:val="nil"/>
              <w:right w:val="nil"/>
            </w:tcBorders>
          </w:tcPr>
          <w:p w14:paraId="5D8C0031" w14:textId="77777777" w:rsidR="002A175E" w:rsidRPr="00A84EB0" w:rsidRDefault="002A175E" w:rsidP="002A175E">
            <w:pPr>
              <w:rPr>
                <w:rFonts w:ascii="Times New Roman" w:hAnsi="Times New Roman" w:cs="Times New Roman"/>
                <w:szCs w:val="24"/>
              </w:rPr>
            </w:pPr>
            <w:r w:rsidRPr="00A84EB0">
              <w:rPr>
                <w:rFonts w:ascii="Times New Roman" w:hAnsi="Times New Roman" w:cs="Times New Roman"/>
                <w:szCs w:val="24"/>
              </w:rPr>
              <w:t xml:space="preserve">IMF bailout active in </w:t>
            </w:r>
            <w:r w:rsidRPr="00A84EB0">
              <w:rPr>
                <w:rFonts w:ascii="Times New Roman" w:hAnsi="Times New Roman" w:cs="Times New Roman"/>
                <w:bCs/>
                <w:szCs w:val="24"/>
              </w:rPr>
              <w:t>current year</w:t>
            </w:r>
            <w:r w:rsidRPr="00A84EB0">
              <w:rPr>
                <w:rFonts w:ascii="Times New Roman" w:hAnsi="Times New Roman" w:cs="Times New Roman"/>
                <w:szCs w:val="24"/>
              </w:rPr>
              <w:t xml:space="preserve"> </w:t>
            </w:r>
          </w:p>
        </w:tc>
        <w:tc>
          <w:tcPr>
            <w:tcW w:w="560" w:type="pct"/>
            <w:tcBorders>
              <w:top w:val="nil"/>
              <w:left w:val="nil"/>
              <w:bottom w:val="nil"/>
              <w:right w:val="nil"/>
            </w:tcBorders>
          </w:tcPr>
          <w:p w14:paraId="5EF0492A"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333C9A4"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34CB7C4F"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D6CB378"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4E2DFB74"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-19.1</w:t>
            </w:r>
          </w:p>
        </w:tc>
        <w:tc>
          <w:tcPr>
            <w:tcW w:w="570" w:type="pct"/>
            <w:tcBorders>
              <w:top w:val="nil"/>
              <w:left w:val="nil"/>
              <w:bottom w:val="nil"/>
              <w:right w:val="nil"/>
            </w:tcBorders>
          </w:tcPr>
          <w:p w14:paraId="55146A87"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-33.1</w:t>
            </w:r>
          </w:p>
        </w:tc>
      </w:tr>
      <w:tr w:rsidR="002A175E" w:rsidRPr="002A175E" w14:paraId="397DCE62" w14:textId="77777777" w:rsidTr="002A175E">
        <w:tc>
          <w:tcPr>
            <w:tcW w:w="1633" w:type="pct"/>
            <w:tcBorders>
              <w:top w:val="nil"/>
              <w:left w:val="nil"/>
              <w:bottom w:val="nil"/>
              <w:right w:val="nil"/>
            </w:tcBorders>
          </w:tcPr>
          <w:p w14:paraId="58765F9A"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503E8949"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A259668"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5F07C1EF"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7A7E9D5"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0FC25B76"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11.5</w:t>
            </w:r>
            <w:r w:rsidRPr="00A84EB0">
              <w:rPr>
                <w:rFonts w:ascii="Times New Roman" w:hAnsi="Times New Roman" w:cs="Times New Roman"/>
                <w:szCs w:val="24"/>
              </w:rPr>
              <w:t>)</w:t>
            </w:r>
          </w:p>
        </w:tc>
        <w:tc>
          <w:tcPr>
            <w:tcW w:w="570" w:type="pct"/>
            <w:tcBorders>
              <w:top w:val="nil"/>
              <w:left w:val="nil"/>
              <w:bottom w:val="nil"/>
              <w:right w:val="nil"/>
            </w:tcBorders>
          </w:tcPr>
          <w:p w14:paraId="2E3B717F"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16.7</w:t>
            </w:r>
            <w:r w:rsidRPr="00A84EB0">
              <w:rPr>
                <w:rFonts w:ascii="Times New Roman" w:hAnsi="Times New Roman" w:cs="Times New Roman"/>
                <w:szCs w:val="24"/>
              </w:rPr>
              <w:t>)</w:t>
            </w:r>
          </w:p>
        </w:tc>
      </w:tr>
      <w:tr w:rsidR="002A175E" w:rsidRPr="002A175E" w14:paraId="4CF64556" w14:textId="77777777" w:rsidTr="002A175E">
        <w:tc>
          <w:tcPr>
            <w:tcW w:w="1633" w:type="pct"/>
            <w:tcBorders>
              <w:top w:val="nil"/>
              <w:left w:val="nil"/>
              <w:bottom w:val="nil"/>
              <w:right w:val="nil"/>
            </w:tcBorders>
          </w:tcPr>
          <w:p w14:paraId="2A6356C0"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4003D2BA"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DB7EE47"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43D0949"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49A1A25"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56E9FB78"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69611883" w14:textId="77777777" w:rsidR="002A175E" w:rsidRPr="00A84EB0" w:rsidRDefault="002A175E" w:rsidP="00A84EB0">
            <w:pPr>
              <w:jc w:val="center"/>
              <w:rPr>
                <w:rFonts w:ascii="Times New Roman" w:hAnsi="Times New Roman" w:cs="Times New Roman"/>
                <w:szCs w:val="24"/>
              </w:rPr>
            </w:pPr>
          </w:p>
        </w:tc>
      </w:tr>
      <w:tr w:rsidR="002A175E" w:rsidRPr="002A175E" w14:paraId="08DF4DA8" w14:textId="77777777" w:rsidTr="002A175E">
        <w:tc>
          <w:tcPr>
            <w:tcW w:w="1633" w:type="pct"/>
            <w:tcBorders>
              <w:top w:val="nil"/>
              <w:left w:val="nil"/>
              <w:bottom w:val="nil"/>
              <w:right w:val="nil"/>
            </w:tcBorders>
          </w:tcPr>
          <w:p w14:paraId="1ECED5BA" w14:textId="77777777" w:rsidR="002A175E" w:rsidRPr="00A84EB0" w:rsidRDefault="002A175E" w:rsidP="002A175E">
            <w:pPr>
              <w:rPr>
                <w:rFonts w:ascii="Times New Roman" w:hAnsi="Times New Roman" w:cs="Times New Roman"/>
                <w:szCs w:val="24"/>
              </w:rPr>
            </w:pPr>
            <w:r w:rsidRPr="00A84EB0">
              <w:rPr>
                <w:rFonts w:ascii="Times New Roman" w:hAnsi="Times New Roman" w:cs="Times New Roman"/>
                <w:bCs/>
                <w:szCs w:val="24"/>
                <w:lang w:val="en-GB"/>
              </w:rPr>
              <w:t>Left governing party˚</w:t>
            </w:r>
          </w:p>
        </w:tc>
        <w:tc>
          <w:tcPr>
            <w:tcW w:w="560" w:type="pct"/>
            <w:tcBorders>
              <w:top w:val="nil"/>
              <w:left w:val="nil"/>
              <w:bottom w:val="nil"/>
              <w:right w:val="nil"/>
            </w:tcBorders>
          </w:tcPr>
          <w:p w14:paraId="7FEA001B"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F130D36"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8EE9EC5"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54DB059"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70733CCB"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0FF01842"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3.74</w:t>
            </w:r>
          </w:p>
        </w:tc>
      </w:tr>
      <w:tr w:rsidR="002A175E" w:rsidRPr="002A175E" w14:paraId="188A5424" w14:textId="77777777" w:rsidTr="002A175E">
        <w:tc>
          <w:tcPr>
            <w:tcW w:w="1633" w:type="pct"/>
            <w:tcBorders>
              <w:top w:val="nil"/>
              <w:left w:val="nil"/>
              <w:bottom w:val="nil"/>
              <w:right w:val="nil"/>
            </w:tcBorders>
          </w:tcPr>
          <w:p w14:paraId="79B2E9EA"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5FC4A593"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610E414"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10A876B"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BF9D788"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2ACE5712"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48EF1F23"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16.4</w:t>
            </w:r>
            <w:r w:rsidRPr="00A84EB0">
              <w:rPr>
                <w:rFonts w:ascii="Times New Roman" w:hAnsi="Times New Roman" w:cs="Times New Roman"/>
                <w:szCs w:val="24"/>
              </w:rPr>
              <w:t>)</w:t>
            </w:r>
          </w:p>
        </w:tc>
      </w:tr>
      <w:tr w:rsidR="002A175E" w:rsidRPr="002A175E" w14:paraId="34C50A7C" w14:textId="77777777" w:rsidTr="002A175E">
        <w:tc>
          <w:tcPr>
            <w:tcW w:w="1633" w:type="pct"/>
            <w:tcBorders>
              <w:top w:val="nil"/>
              <w:left w:val="nil"/>
              <w:bottom w:val="nil"/>
              <w:right w:val="nil"/>
            </w:tcBorders>
          </w:tcPr>
          <w:p w14:paraId="0DCA9510"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2FC55231"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3FEEF14D"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CABE619"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79A71FBA"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1B7909D3"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0D7AA2D2" w14:textId="77777777" w:rsidR="002A175E" w:rsidRPr="00A84EB0" w:rsidRDefault="002A175E" w:rsidP="00A84EB0">
            <w:pPr>
              <w:jc w:val="center"/>
              <w:rPr>
                <w:rFonts w:ascii="Times New Roman" w:hAnsi="Times New Roman" w:cs="Times New Roman"/>
                <w:szCs w:val="24"/>
              </w:rPr>
            </w:pPr>
          </w:p>
        </w:tc>
      </w:tr>
      <w:tr w:rsidR="002A175E" w:rsidRPr="002A175E" w14:paraId="1D722953" w14:textId="77777777" w:rsidTr="002A175E">
        <w:tc>
          <w:tcPr>
            <w:tcW w:w="1633" w:type="pct"/>
            <w:tcBorders>
              <w:top w:val="nil"/>
              <w:left w:val="nil"/>
              <w:bottom w:val="nil"/>
              <w:right w:val="nil"/>
            </w:tcBorders>
          </w:tcPr>
          <w:p w14:paraId="063019BB" w14:textId="77777777" w:rsidR="002A175E" w:rsidRPr="00A84EB0" w:rsidRDefault="002A175E" w:rsidP="002A175E">
            <w:pPr>
              <w:rPr>
                <w:rFonts w:ascii="Times New Roman" w:hAnsi="Times New Roman" w:cs="Times New Roman"/>
                <w:szCs w:val="24"/>
              </w:rPr>
            </w:pPr>
            <w:r w:rsidRPr="00A84EB0">
              <w:rPr>
                <w:rFonts w:ascii="Times New Roman" w:hAnsi="Times New Roman" w:cs="Times New Roman"/>
                <w:bCs/>
                <w:szCs w:val="24"/>
                <w:lang w:val="en-GB"/>
              </w:rPr>
              <w:t>Right governing party˚</w:t>
            </w:r>
          </w:p>
        </w:tc>
        <w:tc>
          <w:tcPr>
            <w:tcW w:w="560" w:type="pct"/>
            <w:tcBorders>
              <w:top w:val="nil"/>
              <w:left w:val="nil"/>
              <w:bottom w:val="nil"/>
              <w:right w:val="nil"/>
            </w:tcBorders>
          </w:tcPr>
          <w:p w14:paraId="7E57D6DF"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ADB3535"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1694E00A"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863926F"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4EF58C02"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3D0900D8"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1.10</w:t>
            </w:r>
          </w:p>
        </w:tc>
      </w:tr>
      <w:tr w:rsidR="002A175E" w:rsidRPr="002A175E" w14:paraId="6E464E8A" w14:textId="77777777" w:rsidTr="002A175E">
        <w:tc>
          <w:tcPr>
            <w:tcW w:w="1633" w:type="pct"/>
            <w:tcBorders>
              <w:top w:val="nil"/>
              <w:left w:val="nil"/>
              <w:bottom w:val="nil"/>
              <w:right w:val="nil"/>
            </w:tcBorders>
          </w:tcPr>
          <w:p w14:paraId="3FA81A3D"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2F035BC5"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EE46497"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0AF3CE66"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641D4DA"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668F9911"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2DF01444"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w:t>
            </w:r>
            <w:r w:rsidRPr="00A84EB0">
              <w:rPr>
                <w:rFonts w:ascii="Times New Roman" w:hAnsi="Times New Roman" w:cs="Times New Roman"/>
                <w:bCs/>
                <w:szCs w:val="24"/>
              </w:rPr>
              <w:t>17.9</w:t>
            </w:r>
            <w:r w:rsidRPr="00A84EB0">
              <w:rPr>
                <w:rFonts w:ascii="Times New Roman" w:hAnsi="Times New Roman" w:cs="Times New Roman"/>
                <w:szCs w:val="24"/>
              </w:rPr>
              <w:t>)</w:t>
            </w:r>
          </w:p>
        </w:tc>
      </w:tr>
      <w:tr w:rsidR="002A175E" w:rsidRPr="002A175E" w14:paraId="3403F227" w14:textId="77777777" w:rsidTr="002A175E">
        <w:tc>
          <w:tcPr>
            <w:tcW w:w="1633" w:type="pct"/>
            <w:tcBorders>
              <w:top w:val="nil"/>
              <w:left w:val="nil"/>
              <w:bottom w:val="nil"/>
              <w:right w:val="nil"/>
            </w:tcBorders>
          </w:tcPr>
          <w:p w14:paraId="1A3FFC2C" w14:textId="77777777" w:rsidR="002A175E" w:rsidRPr="00A84EB0" w:rsidRDefault="002A175E" w:rsidP="002A175E">
            <w:pPr>
              <w:rPr>
                <w:rFonts w:ascii="Times New Roman" w:hAnsi="Times New Roman" w:cs="Times New Roman"/>
                <w:szCs w:val="24"/>
              </w:rPr>
            </w:pPr>
          </w:p>
        </w:tc>
        <w:tc>
          <w:tcPr>
            <w:tcW w:w="560" w:type="pct"/>
            <w:tcBorders>
              <w:top w:val="nil"/>
              <w:left w:val="nil"/>
              <w:bottom w:val="nil"/>
              <w:right w:val="nil"/>
            </w:tcBorders>
          </w:tcPr>
          <w:p w14:paraId="23B9D72A"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2B801C0F"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6CC12EF5" w14:textId="77777777" w:rsidR="002A175E" w:rsidRPr="00A84EB0" w:rsidRDefault="002A175E" w:rsidP="00A84EB0">
            <w:pPr>
              <w:jc w:val="center"/>
              <w:rPr>
                <w:rFonts w:ascii="Times New Roman" w:hAnsi="Times New Roman" w:cs="Times New Roman"/>
                <w:szCs w:val="24"/>
              </w:rPr>
            </w:pPr>
          </w:p>
        </w:tc>
        <w:tc>
          <w:tcPr>
            <w:tcW w:w="560" w:type="pct"/>
            <w:tcBorders>
              <w:top w:val="nil"/>
              <w:left w:val="nil"/>
              <w:bottom w:val="nil"/>
              <w:right w:val="nil"/>
            </w:tcBorders>
          </w:tcPr>
          <w:p w14:paraId="4A336018" w14:textId="77777777" w:rsidR="002A175E" w:rsidRPr="00A84EB0" w:rsidRDefault="002A175E" w:rsidP="00A84EB0">
            <w:pPr>
              <w:jc w:val="center"/>
              <w:rPr>
                <w:rFonts w:ascii="Times New Roman" w:hAnsi="Times New Roman" w:cs="Times New Roman"/>
                <w:szCs w:val="24"/>
              </w:rPr>
            </w:pPr>
          </w:p>
        </w:tc>
        <w:tc>
          <w:tcPr>
            <w:tcW w:w="557" w:type="pct"/>
            <w:tcBorders>
              <w:top w:val="nil"/>
              <w:left w:val="nil"/>
              <w:bottom w:val="nil"/>
              <w:right w:val="nil"/>
            </w:tcBorders>
          </w:tcPr>
          <w:p w14:paraId="2FFA528F" w14:textId="77777777" w:rsidR="002A175E" w:rsidRPr="00A84EB0" w:rsidRDefault="002A175E" w:rsidP="00A84EB0">
            <w:pPr>
              <w:jc w:val="center"/>
              <w:rPr>
                <w:rFonts w:ascii="Times New Roman" w:hAnsi="Times New Roman" w:cs="Times New Roman"/>
                <w:szCs w:val="24"/>
              </w:rPr>
            </w:pPr>
          </w:p>
        </w:tc>
        <w:tc>
          <w:tcPr>
            <w:tcW w:w="570" w:type="pct"/>
            <w:tcBorders>
              <w:top w:val="nil"/>
              <w:left w:val="nil"/>
              <w:bottom w:val="nil"/>
              <w:right w:val="nil"/>
            </w:tcBorders>
          </w:tcPr>
          <w:p w14:paraId="313E099F" w14:textId="77777777" w:rsidR="002A175E" w:rsidRPr="00A84EB0" w:rsidRDefault="002A175E" w:rsidP="00A84EB0">
            <w:pPr>
              <w:jc w:val="center"/>
              <w:rPr>
                <w:rFonts w:ascii="Times New Roman" w:hAnsi="Times New Roman" w:cs="Times New Roman"/>
                <w:szCs w:val="24"/>
              </w:rPr>
            </w:pPr>
          </w:p>
        </w:tc>
      </w:tr>
      <w:tr w:rsidR="002A175E" w:rsidRPr="002A175E" w14:paraId="6494E47D" w14:textId="77777777" w:rsidTr="002A175E">
        <w:tc>
          <w:tcPr>
            <w:tcW w:w="1633" w:type="pct"/>
            <w:tcBorders>
              <w:top w:val="single" w:sz="4" w:space="0" w:color="auto"/>
              <w:left w:val="nil"/>
              <w:right w:val="nil"/>
            </w:tcBorders>
          </w:tcPr>
          <w:p w14:paraId="166D9065" w14:textId="77777777" w:rsidR="002A175E" w:rsidRPr="00A84EB0" w:rsidRDefault="002A175E" w:rsidP="002A175E">
            <w:pPr>
              <w:rPr>
                <w:rFonts w:ascii="Times New Roman" w:hAnsi="Times New Roman" w:cs="Times New Roman"/>
                <w:szCs w:val="24"/>
              </w:rPr>
            </w:pPr>
            <w:r w:rsidRPr="00A84EB0">
              <w:rPr>
                <w:rFonts w:ascii="Times New Roman" w:hAnsi="Times New Roman" w:cs="Times New Roman"/>
                <w:szCs w:val="24"/>
              </w:rPr>
              <w:t>Country-years</w:t>
            </w:r>
          </w:p>
        </w:tc>
        <w:tc>
          <w:tcPr>
            <w:tcW w:w="560" w:type="pct"/>
            <w:tcBorders>
              <w:top w:val="single" w:sz="4" w:space="0" w:color="auto"/>
              <w:left w:val="nil"/>
              <w:right w:val="nil"/>
            </w:tcBorders>
          </w:tcPr>
          <w:p w14:paraId="04493E73"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409</w:t>
            </w:r>
          </w:p>
        </w:tc>
        <w:tc>
          <w:tcPr>
            <w:tcW w:w="560" w:type="pct"/>
            <w:tcBorders>
              <w:top w:val="single" w:sz="4" w:space="0" w:color="auto"/>
              <w:left w:val="nil"/>
              <w:right w:val="nil"/>
            </w:tcBorders>
          </w:tcPr>
          <w:p w14:paraId="08ED6765"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397</w:t>
            </w:r>
          </w:p>
        </w:tc>
        <w:tc>
          <w:tcPr>
            <w:tcW w:w="560" w:type="pct"/>
            <w:tcBorders>
              <w:top w:val="single" w:sz="4" w:space="0" w:color="auto"/>
              <w:left w:val="nil"/>
              <w:right w:val="nil"/>
            </w:tcBorders>
          </w:tcPr>
          <w:p w14:paraId="16A44837"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391</w:t>
            </w:r>
          </w:p>
        </w:tc>
        <w:tc>
          <w:tcPr>
            <w:tcW w:w="560" w:type="pct"/>
            <w:tcBorders>
              <w:top w:val="single" w:sz="4" w:space="0" w:color="auto"/>
              <w:left w:val="nil"/>
              <w:right w:val="nil"/>
            </w:tcBorders>
          </w:tcPr>
          <w:p w14:paraId="37731423"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391</w:t>
            </w:r>
          </w:p>
        </w:tc>
        <w:tc>
          <w:tcPr>
            <w:tcW w:w="557" w:type="pct"/>
            <w:tcBorders>
              <w:top w:val="single" w:sz="4" w:space="0" w:color="auto"/>
              <w:left w:val="nil"/>
              <w:right w:val="nil"/>
            </w:tcBorders>
          </w:tcPr>
          <w:p w14:paraId="54D8585B"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391</w:t>
            </w:r>
          </w:p>
        </w:tc>
        <w:tc>
          <w:tcPr>
            <w:tcW w:w="570" w:type="pct"/>
            <w:tcBorders>
              <w:top w:val="single" w:sz="4" w:space="0" w:color="auto"/>
              <w:left w:val="nil"/>
              <w:right w:val="nil"/>
            </w:tcBorders>
          </w:tcPr>
          <w:p w14:paraId="0AC28C81"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339</w:t>
            </w:r>
          </w:p>
        </w:tc>
      </w:tr>
      <w:tr w:rsidR="002A175E" w:rsidRPr="002A175E" w14:paraId="6F9CE2EF" w14:textId="77777777" w:rsidTr="002A175E">
        <w:tc>
          <w:tcPr>
            <w:tcW w:w="1633" w:type="pct"/>
            <w:tcBorders>
              <w:top w:val="nil"/>
              <w:left w:val="nil"/>
              <w:right w:val="nil"/>
            </w:tcBorders>
          </w:tcPr>
          <w:p w14:paraId="3F0E6F05" w14:textId="77777777" w:rsidR="002A175E" w:rsidRPr="00A84EB0" w:rsidRDefault="002A175E" w:rsidP="002A175E">
            <w:pPr>
              <w:rPr>
                <w:rFonts w:ascii="Times New Roman" w:hAnsi="Times New Roman" w:cs="Times New Roman"/>
                <w:iCs/>
                <w:szCs w:val="24"/>
              </w:rPr>
            </w:pPr>
            <w:r w:rsidRPr="00A84EB0">
              <w:rPr>
                <w:rFonts w:ascii="Times New Roman" w:hAnsi="Times New Roman" w:cs="Times New Roman"/>
                <w:iCs/>
                <w:szCs w:val="24"/>
              </w:rPr>
              <w:t>Countries</w:t>
            </w:r>
          </w:p>
        </w:tc>
        <w:tc>
          <w:tcPr>
            <w:tcW w:w="560" w:type="pct"/>
            <w:tcBorders>
              <w:top w:val="nil"/>
              <w:left w:val="nil"/>
              <w:right w:val="nil"/>
            </w:tcBorders>
          </w:tcPr>
          <w:p w14:paraId="27C5E3F7"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27</w:t>
            </w:r>
          </w:p>
        </w:tc>
        <w:tc>
          <w:tcPr>
            <w:tcW w:w="560" w:type="pct"/>
            <w:tcBorders>
              <w:top w:val="nil"/>
              <w:left w:val="nil"/>
              <w:right w:val="nil"/>
            </w:tcBorders>
          </w:tcPr>
          <w:p w14:paraId="6DC749B4"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27</w:t>
            </w:r>
          </w:p>
        </w:tc>
        <w:tc>
          <w:tcPr>
            <w:tcW w:w="560" w:type="pct"/>
            <w:tcBorders>
              <w:top w:val="nil"/>
              <w:left w:val="nil"/>
              <w:right w:val="nil"/>
            </w:tcBorders>
          </w:tcPr>
          <w:p w14:paraId="11636977"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27</w:t>
            </w:r>
          </w:p>
        </w:tc>
        <w:tc>
          <w:tcPr>
            <w:tcW w:w="560" w:type="pct"/>
            <w:tcBorders>
              <w:top w:val="nil"/>
              <w:left w:val="nil"/>
              <w:right w:val="nil"/>
            </w:tcBorders>
          </w:tcPr>
          <w:p w14:paraId="2DD1C370"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27</w:t>
            </w:r>
          </w:p>
        </w:tc>
        <w:tc>
          <w:tcPr>
            <w:tcW w:w="557" w:type="pct"/>
            <w:tcBorders>
              <w:top w:val="nil"/>
              <w:left w:val="nil"/>
              <w:right w:val="nil"/>
            </w:tcBorders>
          </w:tcPr>
          <w:p w14:paraId="634364EB"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27</w:t>
            </w:r>
          </w:p>
        </w:tc>
        <w:tc>
          <w:tcPr>
            <w:tcW w:w="570" w:type="pct"/>
            <w:tcBorders>
              <w:top w:val="nil"/>
              <w:left w:val="nil"/>
              <w:right w:val="nil"/>
            </w:tcBorders>
          </w:tcPr>
          <w:p w14:paraId="2B838548"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bCs/>
                <w:szCs w:val="24"/>
              </w:rPr>
              <w:t>27</w:t>
            </w:r>
          </w:p>
        </w:tc>
      </w:tr>
      <w:tr w:rsidR="002A175E" w:rsidRPr="002A175E" w14:paraId="7025C594" w14:textId="77777777" w:rsidTr="002A175E">
        <w:tc>
          <w:tcPr>
            <w:tcW w:w="1633" w:type="pct"/>
            <w:tcBorders>
              <w:left w:val="nil"/>
              <w:bottom w:val="single" w:sz="4" w:space="0" w:color="auto"/>
              <w:right w:val="nil"/>
            </w:tcBorders>
          </w:tcPr>
          <w:p w14:paraId="70BAEB79" w14:textId="77777777" w:rsidR="002A175E" w:rsidRPr="00A84EB0" w:rsidRDefault="002A175E" w:rsidP="002A175E">
            <w:pPr>
              <w:rPr>
                <w:rFonts w:ascii="Times New Roman" w:hAnsi="Times New Roman" w:cs="Times New Roman"/>
                <w:szCs w:val="24"/>
              </w:rPr>
            </w:pPr>
            <w:r w:rsidRPr="00A84EB0">
              <w:rPr>
                <w:rFonts w:ascii="Times New Roman" w:hAnsi="Times New Roman" w:cs="Times New Roman"/>
                <w:i/>
                <w:iCs/>
                <w:szCs w:val="24"/>
              </w:rPr>
              <w:t>R</w:t>
            </w:r>
            <w:r w:rsidRPr="00A84EB0">
              <w:rPr>
                <w:rFonts w:ascii="Times New Roman" w:hAnsi="Times New Roman" w:cs="Times New Roman"/>
                <w:szCs w:val="24"/>
                <w:vertAlign w:val="superscript"/>
              </w:rPr>
              <w:t>2</w:t>
            </w:r>
          </w:p>
        </w:tc>
        <w:tc>
          <w:tcPr>
            <w:tcW w:w="560" w:type="pct"/>
            <w:tcBorders>
              <w:left w:val="nil"/>
              <w:bottom w:val="single" w:sz="4" w:space="0" w:color="auto"/>
              <w:right w:val="nil"/>
            </w:tcBorders>
          </w:tcPr>
          <w:p w14:paraId="4DE87C83"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092</w:t>
            </w:r>
          </w:p>
        </w:tc>
        <w:tc>
          <w:tcPr>
            <w:tcW w:w="560" w:type="pct"/>
            <w:tcBorders>
              <w:left w:val="nil"/>
              <w:bottom w:val="single" w:sz="4" w:space="0" w:color="auto"/>
              <w:right w:val="nil"/>
            </w:tcBorders>
          </w:tcPr>
          <w:p w14:paraId="6AFD9BA8"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13</w:t>
            </w:r>
          </w:p>
        </w:tc>
        <w:tc>
          <w:tcPr>
            <w:tcW w:w="560" w:type="pct"/>
            <w:tcBorders>
              <w:left w:val="nil"/>
              <w:bottom w:val="single" w:sz="4" w:space="0" w:color="auto"/>
              <w:right w:val="nil"/>
            </w:tcBorders>
          </w:tcPr>
          <w:p w14:paraId="1E4975B8"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12</w:t>
            </w:r>
          </w:p>
        </w:tc>
        <w:tc>
          <w:tcPr>
            <w:tcW w:w="560" w:type="pct"/>
            <w:tcBorders>
              <w:left w:val="nil"/>
              <w:bottom w:val="single" w:sz="4" w:space="0" w:color="auto"/>
              <w:right w:val="nil"/>
            </w:tcBorders>
          </w:tcPr>
          <w:p w14:paraId="0335C6B9"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27</w:t>
            </w:r>
          </w:p>
        </w:tc>
        <w:tc>
          <w:tcPr>
            <w:tcW w:w="557" w:type="pct"/>
            <w:tcBorders>
              <w:left w:val="nil"/>
              <w:bottom w:val="single" w:sz="4" w:space="0" w:color="auto"/>
              <w:right w:val="nil"/>
            </w:tcBorders>
          </w:tcPr>
          <w:p w14:paraId="4115677F"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27</w:t>
            </w:r>
          </w:p>
        </w:tc>
        <w:tc>
          <w:tcPr>
            <w:tcW w:w="570" w:type="pct"/>
            <w:tcBorders>
              <w:left w:val="nil"/>
              <w:bottom w:val="single" w:sz="4" w:space="0" w:color="auto"/>
              <w:right w:val="nil"/>
            </w:tcBorders>
          </w:tcPr>
          <w:p w14:paraId="6D304722" w14:textId="77777777" w:rsidR="002A175E" w:rsidRPr="00A84EB0" w:rsidRDefault="002A175E" w:rsidP="00A84EB0">
            <w:pPr>
              <w:jc w:val="center"/>
              <w:rPr>
                <w:rFonts w:ascii="Times New Roman" w:hAnsi="Times New Roman" w:cs="Times New Roman"/>
                <w:szCs w:val="24"/>
              </w:rPr>
            </w:pPr>
            <w:r w:rsidRPr="00A84EB0">
              <w:rPr>
                <w:rFonts w:ascii="Times New Roman" w:hAnsi="Times New Roman" w:cs="Times New Roman"/>
                <w:szCs w:val="24"/>
              </w:rPr>
              <w:t>0.</w:t>
            </w:r>
            <w:r w:rsidRPr="00A84EB0">
              <w:rPr>
                <w:rFonts w:ascii="Times New Roman" w:hAnsi="Times New Roman" w:cs="Times New Roman"/>
                <w:bCs/>
                <w:szCs w:val="24"/>
              </w:rPr>
              <w:t>28</w:t>
            </w:r>
          </w:p>
        </w:tc>
      </w:tr>
    </w:tbl>
    <w:p w14:paraId="7419C40F" w14:textId="77777777" w:rsidR="002A175E" w:rsidRPr="002A175E" w:rsidRDefault="002A175E" w:rsidP="002A175E">
      <w:pPr>
        <w:rPr>
          <w:rFonts w:ascii="Times New Roman" w:hAnsi="Times New Roman" w:cs="Times New Roman"/>
          <w:sz w:val="20"/>
          <w:szCs w:val="20"/>
        </w:rPr>
      </w:pPr>
      <w:r w:rsidRPr="002A175E">
        <w:rPr>
          <w:rFonts w:ascii="Times New Roman" w:hAnsi="Times New Roman" w:cs="Times New Roman"/>
          <w:i/>
          <w:sz w:val="20"/>
          <w:szCs w:val="20"/>
        </w:rPr>
        <w:t>Notes:</w:t>
      </w:r>
      <w:r w:rsidRPr="002A175E">
        <w:rPr>
          <w:rFonts w:ascii="Times New Roman" w:hAnsi="Times New Roman" w:cs="Times New Roman"/>
          <w:sz w:val="20"/>
          <w:szCs w:val="20"/>
        </w:rPr>
        <w:t xml:space="preserve"> Source: EuroStat 2013 edition, IMF MONA 2013 edition, World Bank Political Institutions Database 2013 edition.</w:t>
      </w:r>
    </w:p>
    <w:p w14:paraId="1B83790D" w14:textId="77777777" w:rsidR="002A175E" w:rsidRPr="002A175E" w:rsidRDefault="002A175E" w:rsidP="002A175E">
      <w:pPr>
        <w:rPr>
          <w:rFonts w:ascii="Times New Roman" w:hAnsi="Times New Roman" w:cs="Times New Roman"/>
          <w:sz w:val="20"/>
          <w:szCs w:val="20"/>
        </w:rPr>
      </w:pPr>
      <w:r w:rsidRPr="002A175E">
        <w:rPr>
          <w:rFonts w:ascii="Times New Roman" w:hAnsi="Times New Roman" w:cs="Times New Roman"/>
          <w:sz w:val="20"/>
          <w:szCs w:val="20"/>
        </w:rPr>
        <w:t xml:space="preserve">Standard errors in parentheses, adjusted for repeated observations: * </w:t>
      </w:r>
      <w:r w:rsidRPr="002A175E">
        <w:rPr>
          <w:rFonts w:ascii="Times New Roman" w:hAnsi="Times New Roman" w:cs="Times New Roman"/>
          <w:i/>
          <w:sz w:val="20"/>
          <w:szCs w:val="20"/>
        </w:rPr>
        <w:t>p</w:t>
      </w:r>
      <w:r w:rsidRPr="002A175E">
        <w:rPr>
          <w:rFonts w:ascii="Times New Roman" w:hAnsi="Times New Roman" w:cs="Times New Roman"/>
          <w:sz w:val="20"/>
          <w:szCs w:val="20"/>
        </w:rPr>
        <w:t xml:space="preserve"> &lt; 0.05, ** </w:t>
      </w:r>
      <w:r w:rsidRPr="002A175E">
        <w:rPr>
          <w:rFonts w:ascii="Times New Roman" w:hAnsi="Times New Roman" w:cs="Times New Roman"/>
          <w:i/>
          <w:sz w:val="20"/>
          <w:szCs w:val="20"/>
        </w:rPr>
        <w:t>p</w:t>
      </w:r>
      <w:r w:rsidRPr="002A175E">
        <w:rPr>
          <w:rFonts w:ascii="Times New Roman" w:hAnsi="Times New Roman" w:cs="Times New Roman"/>
          <w:sz w:val="20"/>
          <w:szCs w:val="20"/>
        </w:rPr>
        <w:t xml:space="preserve"> &lt; 0.01</w:t>
      </w:r>
    </w:p>
    <w:p w14:paraId="1DC7961B" w14:textId="77777777" w:rsidR="002A175E" w:rsidRPr="002A175E" w:rsidRDefault="002A175E" w:rsidP="002A175E">
      <w:pPr>
        <w:rPr>
          <w:rFonts w:ascii="Times New Roman" w:hAnsi="Times New Roman" w:cs="Times New Roman"/>
          <w:sz w:val="20"/>
          <w:szCs w:val="20"/>
          <w:lang w:val="en-GB"/>
        </w:rPr>
      </w:pPr>
      <w:r w:rsidRPr="002A175E">
        <w:rPr>
          <w:rFonts w:ascii="Times New Roman" w:hAnsi="Times New Roman" w:cs="Times New Roman"/>
          <w:sz w:val="20"/>
          <w:szCs w:val="20"/>
          <w:lang w:val="en-GB"/>
        </w:rPr>
        <w:t xml:space="preserve">˚ Baseline category is Centre. </w:t>
      </w:r>
      <w:r w:rsidRPr="002A175E">
        <w:rPr>
          <w:rFonts w:ascii="Times New Roman" w:hAnsi="Times New Roman" w:cs="Times New Roman"/>
          <w:bCs/>
          <w:sz w:val="20"/>
          <w:szCs w:val="20"/>
          <w:lang w:val="en-GB"/>
        </w:rPr>
        <w:t xml:space="preserve">Taken from the World Bank Political Institutions database, </w:t>
      </w:r>
      <w:r w:rsidRPr="002A175E">
        <w:rPr>
          <w:rFonts w:ascii="Times New Roman" w:hAnsi="Times New Roman" w:cs="Times New Roman"/>
          <w:sz w:val="20"/>
          <w:szCs w:val="20"/>
          <w:lang w:val="en-GB"/>
        </w:rPr>
        <w:t xml:space="preserve">Left </w:t>
      </w:r>
      <w:r w:rsidRPr="002A175E">
        <w:rPr>
          <w:rFonts w:ascii="Times New Roman" w:hAnsi="Times New Roman" w:cs="Times New Roman"/>
          <w:bCs/>
          <w:sz w:val="20"/>
          <w:szCs w:val="20"/>
          <w:lang w:val="en-GB"/>
        </w:rPr>
        <w:t xml:space="preserve">governing party </w:t>
      </w:r>
      <w:r w:rsidRPr="002A175E">
        <w:rPr>
          <w:rFonts w:ascii="Times New Roman" w:hAnsi="Times New Roman" w:cs="Times New Roman"/>
          <w:sz w:val="20"/>
          <w:szCs w:val="20"/>
          <w:lang w:val="en-GB"/>
        </w:rPr>
        <w:t>and Right</w:t>
      </w:r>
      <w:r w:rsidRPr="002A175E">
        <w:rPr>
          <w:rFonts w:ascii="Times New Roman" w:hAnsi="Times New Roman" w:cs="Times New Roman"/>
          <w:bCs/>
          <w:sz w:val="20"/>
          <w:szCs w:val="20"/>
          <w:lang w:val="en-GB"/>
        </w:rPr>
        <w:t xml:space="preserve"> governing party</w:t>
      </w:r>
      <w:r w:rsidRPr="002A175E">
        <w:rPr>
          <w:rFonts w:ascii="Times New Roman" w:hAnsi="Times New Roman" w:cs="Times New Roman"/>
          <w:sz w:val="20"/>
          <w:szCs w:val="20"/>
          <w:lang w:val="en-GB"/>
        </w:rPr>
        <w:t xml:space="preserve"> are measures of the economic ideology of the governing party (or the party whose leader is head of a coalition) derived from party manifestos.</w:t>
      </w:r>
    </w:p>
    <w:p w14:paraId="0CD64DFF" w14:textId="77777777" w:rsidR="002A175E" w:rsidRPr="002A175E" w:rsidRDefault="002A175E" w:rsidP="002A175E">
      <w:pPr>
        <w:rPr>
          <w:rFonts w:ascii="Times New Roman" w:hAnsi="Times New Roman" w:cs="Times New Roman"/>
          <w:sz w:val="20"/>
          <w:szCs w:val="20"/>
        </w:rPr>
      </w:pPr>
      <w:r w:rsidRPr="002A175E">
        <w:rPr>
          <w:rFonts w:ascii="Times New Roman" w:hAnsi="Times New Roman" w:cs="Times New Roman"/>
          <w:sz w:val="20"/>
          <w:szCs w:val="20"/>
        </w:rPr>
        <w:t>IMF bailouts include Stand-by Arrangements, which is usually short-term non-concessional lending, and Extended Fund Facilities, which are usually medium- or long-term lending programmes which are aimed at overcoming structural weakness.</w:t>
      </w:r>
    </w:p>
    <w:p w14:paraId="147AEE5B" w14:textId="77777777" w:rsidR="006937C8" w:rsidRPr="002F3B34" w:rsidRDefault="006937C8">
      <w:pPr>
        <w:rPr>
          <w:rFonts w:ascii="Times New Roman" w:hAnsi="Times New Roman" w:cs="Times New Roman"/>
          <w:szCs w:val="24"/>
        </w:rPr>
      </w:pPr>
    </w:p>
    <w:p w14:paraId="4B16CDCF" w14:textId="77777777" w:rsidR="00585500" w:rsidRDefault="00585500" w:rsidP="006937C8">
      <w:pPr>
        <w:rPr>
          <w:rFonts w:ascii="Times New Roman" w:hAnsi="Times New Roman" w:cs="Times New Roman"/>
          <w:szCs w:val="24"/>
        </w:rPr>
      </w:pPr>
    </w:p>
    <w:p w14:paraId="44E2533E" w14:textId="77777777" w:rsidR="00585500" w:rsidRDefault="00585500">
      <w:pPr>
        <w:rPr>
          <w:rFonts w:ascii="Times New Roman" w:hAnsi="Times New Roman" w:cs="Times New Roman"/>
          <w:szCs w:val="24"/>
        </w:rPr>
      </w:pPr>
      <w:r>
        <w:rPr>
          <w:rFonts w:ascii="Times New Roman" w:hAnsi="Times New Roman" w:cs="Times New Roman"/>
          <w:szCs w:val="24"/>
        </w:rPr>
        <w:br w:type="page"/>
      </w:r>
    </w:p>
    <w:p w14:paraId="39A05195" w14:textId="77777777" w:rsidR="00240494" w:rsidRDefault="00782C9C" w:rsidP="00240494">
      <w:pPr>
        <w:rPr>
          <w:rFonts w:ascii="Times New Roman" w:hAnsi="Times New Roman" w:cs="Times New Roman"/>
          <w:szCs w:val="24"/>
        </w:rPr>
      </w:pPr>
      <w:r w:rsidRPr="002F3B34">
        <w:rPr>
          <w:rFonts w:ascii="Times New Roman" w:hAnsi="Times New Roman" w:cs="Times New Roman"/>
          <w:szCs w:val="24"/>
        </w:rPr>
        <w:t xml:space="preserve">Web Appendix </w:t>
      </w:r>
      <w:r w:rsidR="00585500">
        <w:rPr>
          <w:rFonts w:ascii="Times New Roman" w:hAnsi="Times New Roman" w:cs="Times New Roman"/>
          <w:szCs w:val="24"/>
        </w:rPr>
        <w:t>11</w:t>
      </w:r>
      <w:r w:rsidR="00240494" w:rsidRPr="002F3B34">
        <w:rPr>
          <w:rFonts w:ascii="Times New Roman" w:hAnsi="Times New Roman" w:cs="Times New Roman"/>
          <w:szCs w:val="24"/>
        </w:rPr>
        <w:t xml:space="preserve">: Economic and political determinants of annual change in health spending on </w:t>
      </w:r>
      <w:r w:rsidR="006937C8" w:rsidRPr="00A04F75">
        <w:rPr>
          <w:rFonts w:ascii="Times New Roman" w:hAnsi="Times New Roman" w:cs="Times New Roman"/>
          <w:szCs w:val="24"/>
        </w:rPr>
        <w:t>social health insurance</w:t>
      </w:r>
      <w:r w:rsidRPr="002F3B34">
        <w:rPr>
          <w:rFonts w:ascii="Times New Roman" w:hAnsi="Times New Roman" w:cs="Times New Roman"/>
          <w:szCs w:val="24"/>
        </w:rPr>
        <w:t xml:space="preserve"> </w:t>
      </w:r>
      <w:r w:rsidR="00240494" w:rsidRPr="002F3B34">
        <w:rPr>
          <w:rFonts w:ascii="Times New Roman" w:hAnsi="Times New Roman" w:cs="Times New Roman"/>
          <w:szCs w:val="24"/>
        </w:rPr>
        <w:t>among 21 EU countries, 1995-2011</w:t>
      </w:r>
    </w:p>
    <w:tbl>
      <w:tblPr>
        <w:tblW w:w="5000" w:type="pct"/>
        <w:tblLayout w:type="fixed"/>
        <w:tblLook w:val="0000" w:firstRow="0" w:lastRow="0" w:firstColumn="0" w:lastColumn="0" w:noHBand="0" w:noVBand="0"/>
      </w:tblPr>
      <w:tblGrid>
        <w:gridCol w:w="3018"/>
        <w:gridCol w:w="1035"/>
        <w:gridCol w:w="1035"/>
        <w:gridCol w:w="1035"/>
        <w:gridCol w:w="1035"/>
        <w:gridCol w:w="1030"/>
        <w:gridCol w:w="1054"/>
      </w:tblGrid>
      <w:tr w:rsidR="002A175E" w:rsidRPr="00A04F75" w14:paraId="3C945D3F" w14:textId="77777777" w:rsidTr="002A175E">
        <w:tc>
          <w:tcPr>
            <w:tcW w:w="1633" w:type="pct"/>
            <w:tcBorders>
              <w:top w:val="single" w:sz="4" w:space="0" w:color="auto"/>
              <w:left w:val="nil"/>
              <w:right w:val="nil"/>
            </w:tcBorders>
          </w:tcPr>
          <w:p w14:paraId="566695B9"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3367" w:type="pct"/>
            <w:gridSpan w:val="6"/>
            <w:tcBorders>
              <w:top w:val="single" w:sz="4" w:space="0" w:color="auto"/>
              <w:left w:val="nil"/>
              <w:right w:val="nil"/>
            </w:tcBorders>
          </w:tcPr>
          <w:p w14:paraId="388AB6D2"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 xml:space="preserve">Annual change in </w:t>
            </w:r>
            <w:r>
              <w:rPr>
                <w:rFonts w:ascii="Times New Roman" w:hAnsi="Times New Roman" w:cs="Times New Roman"/>
                <w:szCs w:val="24"/>
              </w:rPr>
              <w:t xml:space="preserve">social health insurance </w:t>
            </w:r>
            <w:r w:rsidRPr="00A04F75">
              <w:rPr>
                <w:rFonts w:ascii="Times New Roman" w:hAnsi="Times New Roman" w:cs="Times New Roman"/>
                <w:szCs w:val="24"/>
              </w:rPr>
              <w:t>spending</w:t>
            </w:r>
            <w:r w:rsidRPr="00A50D41">
              <w:rPr>
                <w:rFonts w:ascii="Times New Roman" w:hAnsi="Times New Roman" w:cs="Times New Roman"/>
                <w:szCs w:val="24"/>
                <w:vertAlign w:val="superscript"/>
              </w:rPr>
              <w:t>†</w:t>
            </w:r>
          </w:p>
        </w:tc>
      </w:tr>
      <w:tr w:rsidR="002A175E" w:rsidRPr="00A04F75" w14:paraId="2194BFE9" w14:textId="77777777" w:rsidTr="002A175E">
        <w:tc>
          <w:tcPr>
            <w:tcW w:w="1633" w:type="pct"/>
            <w:tcBorders>
              <w:left w:val="nil"/>
              <w:bottom w:val="nil"/>
              <w:right w:val="nil"/>
            </w:tcBorders>
          </w:tcPr>
          <w:p w14:paraId="22CA1441" w14:textId="77777777" w:rsidR="002A175E" w:rsidRPr="00A04F75"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Covariates</w:t>
            </w:r>
          </w:p>
        </w:tc>
        <w:tc>
          <w:tcPr>
            <w:tcW w:w="560" w:type="pct"/>
            <w:tcBorders>
              <w:left w:val="nil"/>
              <w:bottom w:val="nil"/>
              <w:right w:val="nil"/>
            </w:tcBorders>
          </w:tcPr>
          <w:p w14:paraId="3D77B75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w:t>
            </w:r>
          </w:p>
        </w:tc>
        <w:tc>
          <w:tcPr>
            <w:tcW w:w="560" w:type="pct"/>
            <w:tcBorders>
              <w:left w:val="nil"/>
              <w:bottom w:val="nil"/>
              <w:right w:val="nil"/>
            </w:tcBorders>
          </w:tcPr>
          <w:p w14:paraId="34C1412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w:t>
            </w:r>
          </w:p>
        </w:tc>
        <w:tc>
          <w:tcPr>
            <w:tcW w:w="560" w:type="pct"/>
            <w:tcBorders>
              <w:left w:val="nil"/>
              <w:bottom w:val="nil"/>
              <w:right w:val="nil"/>
            </w:tcBorders>
          </w:tcPr>
          <w:p w14:paraId="74ED1FA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w:t>
            </w:r>
          </w:p>
        </w:tc>
        <w:tc>
          <w:tcPr>
            <w:tcW w:w="560" w:type="pct"/>
            <w:tcBorders>
              <w:left w:val="nil"/>
              <w:bottom w:val="nil"/>
              <w:right w:val="nil"/>
            </w:tcBorders>
          </w:tcPr>
          <w:p w14:paraId="47E42322"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(4)</w:t>
            </w:r>
          </w:p>
        </w:tc>
        <w:tc>
          <w:tcPr>
            <w:tcW w:w="557" w:type="pct"/>
            <w:tcBorders>
              <w:left w:val="nil"/>
              <w:bottom w:val="nil"/>
              <w:right w:val="nil"/>
            </w:tcBorders>
          </w:tcPr>
          <w:p w14:paraId="1624A4B3"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(5)</w:t>
            </w:r>
          </w:p>
        </w:tc>
        <w:tc>
          <w:tcPr>
            <w:tcW w:w="570" w:type="pct"/>
            <w:tcBorders>
              <w:left w:val="nil"/>
              <w:bottom w:val="nil"/>
              <w:right w:val="nil"/>
            </w:tcBorders>
          </w:tcPr>
          <w:p w14:paraId="16CF163C"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w:t>
            </w:r>
          </w:p>
        </w:tc>
      </w:tr>
      <w:tr w:rsidR="002A175E" w:rsidRPr="00A04F75" w14:paraId="0A555692" w14:textId="77777777" w:rsidTr="002A175E">
        <w:tc>
          <w:tcPr>
            <w:tcW w:w="1633" w:type="pct"/>
            <w:vMerge w:val="restart"/>
            <w:tcBorders>
              <w:top w:val="single" w:sz="4" w:space="0" w:color="auto"/>
              <w:left w:val="nil"/>
              <w:right w:val="nil"/>
            </w:tcBorders>
          </w:tcPr>
          <w:p w14:paraId="62930564" w14:textId="77777777" w:rsidR="002A175E" w:rsidRPr="00A04F75"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$10 annual increase in GDP</w:t>
            </w:r>
            <w:r w:rsidRPr="00E26417">
              <w:rPr>
                <w:rFonts w:ascii="Times New Roman" w:hAnsi="Times New Roman" w:cs="Times New Roman"/>
                <w:szCs w:val="24"/>
                <w:vertAlign w:val="superscript"/>
              </w:rPr>
              <w:t>†</w:t>
            </w:r>
            <w:r w:rsidRPr="00A04F75">
              <w:rPr>
                <w:rFonts w:ascii="Times New Roman" w:hAnsi="Times New Roman" w:cs="Times New Roman"/>
                <w:szCs w:val="24"/>
              </w:rPr>
              <w:t xml:space="preserve"> </w:t>
            </w:r>
          </w:p>
        </w:tc>
        <w:tc>
          <w:tcPr>
            <w:tcW w:w="560" w:type="pct"/>
            <w:tcBorders>
              <w:top w:val="single" w:sz="4" w:space="0" w:color="auto"/>
              <w:left w:val="nil"/>
              <w:bottom w:val="nil"/>
              <w:right w:val="nil"/>
            </w:tcBorders>
          </w:tcPr>
          <w:p w14:paraId="3D42AC90"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0.13</w:t>
            </w:r>
            <w:r w:rsidRPr="00A04F75">
              <w:rPr>
                <w:rFonts w:ascii="Times New Roman" w:hAnsi="Times New Roman" w:cs="Times New Roman"/>
                <w:szCs w:val="24"/>
                <w:vertAlign w:val="superscript"/>
              </w:rPr>
              <w:t>**</w:t>
            </w:r>
          </w:p>
        </w:tc>
        <w:tc>
          <w:tcPr>
            <w:tcW w:w="560" w:type="pct"/>
            <w:tcBorders>
              <w:top w:val="single" w:sz="4" w:space="0" w:color="auto"/>
              <w:left w:val="nil"/>
              <w:bottom w:val="nil"/>
              <w:right w:val="nil"/>
            </w:tcBorders>
          </w:tcPr>
          <w:p w14:paraId="41E2E4F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0.12</w:t>
            </w:r>
            <w:r w:rsidRPr="00A04F75">
              <w:rPr>
                <w:rFonts w:ascii="Times New Roman" w:hAnsi="Times New Roman" w:cs="Times New Roman"/>
                <w:szCs w:val="24"/>
                <w:vertAlign w:val="superscript"/>
              </w:rPr>
              <w:t>**</w:t>
            </w:r>
          </w:p>
        </w:tc>
        <w:tc>
          <w:tcPr>
            <w:tcW w:w="560" w:type="pct"/>
            <w:tcBorders>
              <w:top w:val="single" w:sz="4" w:space="0" w:color="auto"/>
              <w:left w:val="nil"/>
              <w:bottom w:val="nil"/>
              <w:right w:val="nil"/>
            </w:tcBorders>
          </w:tcPr>
          <w:p w14:paraId="387754C4"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0.12</w:t>
            </w:r>
            <w:r w:rsidRPr="00A04F75">
              <w:rPr>
                <w:rFonts w:ascii="Times New Roman" w:hAnsi="Times New Roman" w:cs="Times New Roman"/>
                <w:szCs w:val="24"/>
                <w:vertAlign w:val="superscript"/>
              </w:rPr>
              <w:t>**</w:t>
            </w:r>
          </w:p>
        </w:tc>
        <w:tc>
          <w:tcPr>
            <w:tcW w:w="560" w:type="pct"/>
            <w:tcBorders>
              <w:top w:val="single" w:sz="4" w:space="0" w:color="auto"/>
              <w:left w:val="nil"/>
              <w:bottom w:val="nil"/>
              <w:right w:val="nil"/>
            </w:tcBorders>
          </w:tcPr>
          <w:p w14:paraId="54FBA60A"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r w:rsidRPr="00A04F75">
              <w:rPr>
                <w:rFonts w:ascii="Times New Roman" w:hAnsi="Times New Roman" w:cs="Times New Roman"/>
                <w:szCs w:val="24"/>
                <w:vertAlign w:val="superscript"/>
              </w:rPr>
              <w:t>**</w:t>
            </w:r>
          </w:p>
        </w:tc>
        <w:tc>
          <w:tcPr>
            <w:tcW w:w="557" w:type="pct"/>
            <w:tcBorders>
              <w:top w:val="single" w:sz="4" w:space="0" w:color="auto"/>
              <w:left w:val="nil"/>
              <w:bottom w:val="nil"/>
              <w:right w:val="nil"/>
            </w:tcBorders>
          </w:tcPr>
          <w:p w14:paraId="551DA85F"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r w:rsidRPr="00A04F75">
              <w:rPr>
                <w:rFonts w:ascii="Times New Roman" w:hAnsi="Times New Roman" w:cs="Times New Roman"/>
                <w:szCs w:val="24"/>
                <w:vertAlign w:val="superscript"/>
              </w:rPr>
              <w:t>**</w:t>
            </w:r>
          </w:p>
        </w:tc>
        <w:tc>
          <w:tcPr>
            <w:tcW w:w="570" w:type="pct"/>
            <w:tcBorders>
              <w:top w:val="single" w:sz="4" w:space="0" w:color="auto"/>
              <w:left w:val="nil"/>
              <w:bottom w:val="nil"/>
              <w:right w:val="nil"/>
            </w:tcBorders>
          </w:tcPr>
          <w:p w14:paraId="6DD11D13"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r w:rsidRPr="00A04F75">
              <w:rPr>
                <w:rFonts w:ascii="Times New Roman" w:hAnsi="Times New Roman" w:cs="Times New Roman"/>
                <w:szCs w:val="24"/>
                <w:vertAlign w:val="superscript"/>
              </w:rPr>
              <w:t>**</w:t>
            </w:r>
          </w:p>
        </w:tc>
      </w:tr>
      <w:tr w:rsidR="002A175E" w:rsidRPr="00A04F75" w14:paraId="7C14AF75" w14:textId="77777777" w:rsidTr="002A175E">
        <w:tc>
          <w:tcPr>
            <w:tcW w:w="1633" w:type="pct"/>
            <w:vMerge/>
            <w:tcBorders>
              <w:left w:val="nil"/>
              <w:right w:val="nil"/>
            </w:tcBorders>
          </w:tcPr>
          <w:p w14:paraId="06E6CB7A"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F18AFC8"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(0.028)</w:t>
            </w:r>
          </w:p>
        </w:tc>
        <w:tc>
          <w:tcPr>
            <w:tcW w:w="560" w:type="pct"/>
            <w:tcBorders>
              <w:top w:val="nil"/>
              <w:left w:val="nil"/>
              <w:bottom w:val="nil"/>
              <w:right w:val="nil"/>
            </w:tcBorders>
          </w:tcPr>
          <w:p w14:paraId="511C68C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(0.029)</w:t>
            </w:r>
          </w:p>
        </w:tc>
        <w:tc>
          <w:tcPr>
            <w:tcW w:w="560" w:type="pct"/>
            <w:tcBorders>
              <w:top w:val="nil"/>
              <w:left w:val="nil"/>
              <w:bottom w:val="nil"/>
              <w:right w:val="nil"/>
            </w:tcBorders>
          </w:tcPr>
          <w:p w14:paraId="49ED051E"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(0.027)</w:t>
            </w:r>
          </w:p>
        </w:tc>
        <w:tc>
          <w:tcPr>
            <w:tcW w:w="560" w:type="pct"/>
            <w:tcBorders>
              <w:top w:val="nil"/>
              <w:left w:val="nil"/>
              <w:bottom w:val="nil"/>
              <w:right w:val="nil"/>
            </w:tcBorders>
          </w:tcPr>
          <w:p w14:paraId="24EA33C8"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(0.031)</w:t>
            </w:r>
          </w:p>
        </w:tc>
        <w:tc>
          <w:tcPr>
            <w:tcW w:w="557" w:type="pct"/>
            <w:tcBorders>
              <w:top w:val="nil"/>
              <w:left w:val="nil"/>
              <w:bottom w:val="nil"/>
              <w:right w:val="nil"/>
            </w:tcBorders>
          </w:tcPr>
          <w:p w14:paraId="47D13801"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(0.031)</w:t>
            </w:r>
          </w:p>
        </w:tc>
        <w:tc>
          <w:tcPr>
            <w:tcW w:w="570" w:type="pct"/>
            <w:tcBorders>
              <w:top w:val="nil"/>
              <w:left w:val="nil"/>
              <w:bottom w:val="nil"/>
              <w:right w:val="nil"/>
            </w:tcBorders>
          </w:tcPr>
          <w:p w14:paraId="405E489E"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(0.035)</w:t>
            </w:r>
          </w:p>
        </w:tc>
      </w:tr>
      <w:tr w:rsidR="002A175E" w:rsidRPr="00A04F75" w14:paraId="005CAB6A" w14:textId="77777777" w:rsidTr="002A175E">
        <w:tc>
          <w:tcPr>
            <w:tcW w:w="1633" w:type="pct"/>
            <w:vMerge/>
            <w:tcBorders>
              <w:left w:val="nil"/>
              <w:bottom w:val="nil"/>
              <w:right w:val="nil"/>
            </w:tcBorders>
          </w:tcPr>
          <w:p w14:paraId="409C2872"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1C86A84"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0AB2045"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001DA80"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2281566"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36C9CD0A"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76CBB7F2"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r>
      <w:tr w:rsidR="002A175E" w:rsidRPr="00A04F75" w14:paraId="48F136DE" w14:textId="77777777" w:rsidTr="002A175E">
        <w:tc>
          <w:tcPr>
            <w:tcW w:w="1633" w:type="pct"/>
            <w:vMerge w:val="restart"/>
            <w:tcBorders>
              <w:top w:val="nil"/>
              <w:left w:val="nil"/>
              <w:right w:val="nil"/>
            </w:tcBorders>
          </w:tcPr>
          <w:p w14:paraId="7E28B594" w14:textId="77777777" w:rsidR="002A175E" w:rsidRPr="00A04F75"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$100 </w:t>
            </w:r>
            <w:r>
              <w:rPr>
                <w:rFonts w:ascii="Times New Roman" w:hAnsi="Times New Roman" w:cs="Times New Roman"/>
                <w:szCs w:val="24"/>
              </w:rPr>
              <w:t xml:space="preserve">annual </w:t>
            </w:r>
            <w:r w:rsidRPr="00A04F75">
              <w:rPr>
                <w:rFonts w:ascii="Times New Roman" w:hAnsi="Times New Roman" w:cs="Times New Roman"/>
                <w:szCs w:val="24"/>
              </w:rPr>
              <w:t>increa</w:t>
            </w:r>
            <w:r>
              <w:rPr>
                <w:rFonts w:ascii="Times New Roman" w:hAnsi="Times New Roman" w:cs="Times New Roman"/>
                <w:szCs w:val="24"/>
              </w:rPr>
              <w:t>se in t</w:t>
            </w:r>
            <w:r w:rsidRPr="00A04F75">
              <w:rPr>
                <w:rFonts w:ascii="Times New Roman" w:hAnsi="Times New Roman" w:cs="Times New Roman"/>
                <w:szCs w:val="24"/>
              </w:rPr>
              <w:t>ax revenue</w:t>
            </w:r>
            <w:r w:rsidRPr="00E26417">
              <w:rPr>
                <w:rFonts w:ascii="Times New Roman" w:hAnsi="Times New Roman" w:cs="Times New Roman"/>
                <w:szCs w:val="24"/>
                <w:vertAlign w:val="superscript"/>
              </w:rPr>
              <w:t>†</w:t>
            </w:r>
          </w:p>
        </w:tc>
        <w:tc>
          <w:tcPr>
            <w:tcW w:w="560" w:type="pct"/>
            <w:tcBorders>
              <w:top w:val="nil"/>
              <w:left w:val="nil"/>
              <w:bottom w:val="nil"/>
              <w:right w:val="nil"/>
            </w:tcBorders>
          </w:tcPr>
          <w:p w14:paraId="7ACAF82F"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7A0103E"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0.51</w:t>
            </w:r>
          </w:p>
        </w:tc>
        <w:tc>
          <w:tcPr>
            <w:tcW w:w="560" w:type="pct"/>
            <w:tcBorders>
              <w:top w:val="nil"/>
              <w:left w:val="nil"/>
              <w:bottom w:val="nil"/>
              <w:right w:val="nil"/>
            </w:tcBorders>
          </w:tcPr>
          <w:p w14:paraId="329C0D64"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0.53</w:t>
            </w:r>
          </w:p>
        </w:tc>
        <w:tc>
          <w:tcPr>
            <w:tcW w:w="560" w:type="pct"/>
            <w:tcBorders>
              <w:top w:val="nil"/>
              <w:left w:val="nil"/>
              <w:bottom w:val="nil"/>
              <w:right w:val="nil"/>
            </w:tcBorders>
          </w:tcPr>
          <w:p w14:paraId="27BA7A44"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0.47</w:t>
            </w:r>
          </w:p>
        </w:tc>
        <w:tc>
          <w:tcPr>
            <w:tcW w:w="557" w:type="pct"/>
            <w:tcBorders>
              <w:top w:val="nil"/>
              <w:left w:val="nil"/>
              <w:bottom w:val="nil"/>
              <w:right w:val="nil"/>
            </w:tcBorders>
          </w:tcPr>
          <w:p w14:paraId="37F13A60"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0.50</w:t>
            </w:r>
          </w:p>
        </w:tc>
        <w:tc>
          <w:tcPr>
            <w:tcW w:w="570" w:type="pct"/>
            <w:tcBorders>
              <w:top w:val="nil"/>
              <w:left w:val="nil"/>
              <w:bottom w:val="nil"/>
              <w:right w:val="nil"/>
            </w:tcBorders>
          </w:tcPr>
          <w:p w14:paraId="3C594D24"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0.35</w:t>
            </w:r>
          </w:p>
        </w:tc>
      </w:tr>
      <w:tr w:rsidR="002A175E" w:rsidRPr="00A04F75" w14:paraId="72CD54C8" w14:textId="77777777" w:rsidTr="002A175E">
        <w:tc>
          <w:tcPr>
            <w:tcW w:w="1633" w:type="pct"/>
            <w:vMerge/>
            <w:tcBorders>
              <w:left w:val="nil"/>
              <w:bottom w:val="nil"/>
              <w:right w:val="nil"/>
            </w:tcBorders>
          </w:tcPr>
          <w:p w14:paraId="68D2C5DA"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8FD28EA"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317885A"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(0.42)</w:t>
            </w:r>
          </w:p>
        </w:tc>
        <w:tc>
          <w:tcPr>
            <w:tcW w:w="560" w:type="pct"/>
            <w:tcBorders>
              <w:top w:val="nil"/>
              <w:left w:val="nil"/>
              <w:bottom w:val="nil"/>
              <w:right w:val="nil"/>
            </w:tcBorders>
          </w:tcPr>
          <w:p w14:paraId="58D6BB89"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(0.40)</w:t>
            </w:r>
          </w:p>
        </w:tc>
        <w:tc>
          <w:tcPr>
            <w:tcW w:w="560" w:type="pct"/>
            <w:tcBorders>
              <w:top w:val="nil"/>
              <w:left w:val="nil"/>
              <w:bottom w:val="nil"/>
              <w:right w:val="nil"/>
            </w:tcBorders>
          </w:tcPr>
          <w:p w14:paraId="40E5649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(0.42)</w:t>
            </w:r>
          </w:p>
        </w:tc>
        <w:tc>
          <w:tcPr>
            <w:tcW w:w="557" w:type="pct"/>
            <w:tcBorders>
              <w:top w:val="nil"/>
              <w:left w:val="nil"/>
              <w:bottom w:val="nil"/>
              <w:right w:val="nil"/>
            </w:tcBorders>
          </w:tcPr>
          <w:p w14:paraId="3B51BFD0"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(0.42)</w:t>
            </w:r>
          </w:p>
        </w:tc>
        <w:tc>
          <w:tcPr>
            <w:tcW w:w="570" w:type="pct"/>
            <w:tcBorders>
              <w:top w:val="nil"/>
              <w:left w:val="nil"/>
              <w:bottom w:val="nil"/>
              <w:right w:val="nil"/>
            </w:tcBorders>
          </w:tcPr>
          <w:p w14:paraId="4A38742A"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(0.44)</w:t>
            </w:r>
          </w:p>
        </w:tc>
      </w:tr>
      <w:tr w:rsidR="002A175E" w:rsidRPr="00A04F75" w14:paraId="16495DEC" w14:textId="77777777" w:rsidTr="002A175E">
        <w:tc>
          <w:tcPr>
            <w:tcW w:w="1633" w:type="pct"/>
            <w:tcBorders>
              <w:top w:val="nil"/>
              <w:left w:val="nil"/>
              <w:bottom w:val="nil"/>
              <w:right w:val="nil"/>
            </w:tcBorders>
          </w:tcPr>
          <w:p w14:paraId="4A3A8194"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189ED99"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36CD076"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0861C73"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3FE62F6"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21274286"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7A2FC945"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r>
      <w:tr w:rsidR="002A175E" w:rsidRPr="00A04F75" w14:paraId="2A10704C" w14:textId="77777777" w:rsidTr="002A175E">
        <w:tc>
          <w:tcPr>
            <w:tcW w:w="1633" w:type="pct"/>
            <w:vMerge w:val="restart"/>
            <w:tcBorders>
              <w:top w:val="nil"/>
              <w:left w:val="nil"/>
              <w:right w:val="nil"/>
            </w:tcBorders>
          </w:tcPr>
          <w:p w14:paraId="17A4D1F9" w14:textId="77777777" w:rsidR="002A175E" w:rsidRPr="00A04F75" w:rsidRDefault="002A175E" w:rsidP="002A175E">
            <w:pPr>
              <w:widowControl w:val="0"/>
              <w:autoSpaceDE w:val="0"/>
              <w:autoSpaceDN w:val="0"/>
              <w:adjustRightInd w:val="0"/>
              <w:rPr>
                <w:rFonts w:ascii="Times New Roman" w:hAnsi="Times New Roman" w:cs="Times New Roman"/>
                <w:szCs w:val="24"/>
              </w:rPr>
            </w:pPr>
            <w:r>
              <w:rPr>
                <w:rFonts w:ascii="Times New Roman" w:hAnsi="Times New Roman" w:cs="Times New Roman"/>
                <w:szCs w:val="24"/>
              </w:rPr>
              <w:t>Public debt as percentage of GDP in the previous year</w:t>
            </w:r>
          </w:p>
        </w:tc>
        <w:tc>
          <w:tcPr>
            <w:tcW w:w="560" w:type="pct"/>
            <w:tcBorders>
              <w:top w:val="nil"/>
              <w:left w:val="nil"/>
              <w:bottom w:val="nil"/>
              <w:right w:val="nil"/>
            </w:tcBorders>
          </w:tcPr>
          <w:p w14:paraId="2917E984"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5663F4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0E97385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-0.083</w:t>
            </w:r>
          </w:p>
        </w:tc>
        <w:tc>
          <w:tcPr>
            <w:tcW w:w="560" w:type="pct"/>
            <w:tcBorders>
              <w:top w:val="nil"/>
              <w:left w:val="nil"/>
              <w:bottom w:val="nil"/>
              <w:right w:val="nil"/>
            </w:tcBorders>
          </w:tcPr>
          <w:p w14:paraId="5A59A431"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-0.090</w:t>
            </w:r>
          </w:p>
        </w:tc>
        <w:tc>
          <w:tcPr>
            <w:tcW w:w="557" w:type="pct"/>
            <w:tcBorders>
              <w:top w:val="nil"/>
              <w:left w:val="nil"/>
              <w:bottom w:val="nil"/>
              <w:right w:val="nil"/>
            </w:tcBorders>
          </w:tcPr>
          <w:p w14:paraId="3BFCE14A"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-0.088</w:t>
            </w:r>
          </w:p>
        </w:tc>
        <w:tc>
          <w:tcPr>
            <w:tcW w:w="570" w:type="pct"/>
            <w:tcBorders>
              <w:top w:val="nil"/>
              <w:left w:val="nil"/>
              <w:bottom w:val="nil"/>
              <w:right w:val="nil"/>
            </w:tcBorders>
          </w:tcPr>
          <w:p w14:paraId="6F5BA687"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-0.079</w:t>
            </w:r>
          </w:p>
        </w:tc>
      </w:tr>
      <w:tr w:rsidR="002A175E" w:rsidRPr="00A04F75" w14:paraId="136DAC38" w14:textId="77777777" w:rsidTr="002A175E">
        <w:tc>
          <w:tcPr>
            <w:tcW w:w="1633" w:type="pct"/>
            <w:vMerge/>
            <w:tcBorders>
              <w:left w:val="nil"/>
              <w:bottom w:val="nil"/>
              <w:right w:val="nil"/>
            </w:tcBorders>
          </w:tcPr>
          <w:p w14:paraId="53B0D2C6"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192D47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8EEA217"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5CD2EAA"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(0.087)</w:t>
            </w:r>
          </w:p>
        </w:tc>
        <w:tc>
          <w:tcPr>
            <w:tcW w:w="560" w:type="pct"/>
            <w:tcBorders>
              <w:top w:val="nil"/>
              <w:left w:val="nil"/>
              <w:bottom w:val="nil"/>
              <w:right w:val="nil"/>
            </w:tcBorders>
          </w:tcPr>
          <w:p w14:paraId="1B83EF3A"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(0.090)</w:t>
            </w:r>
          </w:p>
        </w:tc>
        <w:tc>
          <w:tcPr>
            <w:tcW w:w="557" w:type="pct"/>
            <w:tcBorders>
              <w:top w:val="nil"/>
              <w:left w:val="nil"/>
              <w:bottom w:val="nil"/>
              <w:right w:val="nil"/>
            </w:tcBorders>
          </w:tcPr>
          <w:p w14:paraId="2F7D31C7"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(0.090)</w:t>
            </w:r>
          </w:p>
        </w:tc>
        <w:tc>
          <w:tcPr>
            <w:tcW w:w="570" w:type="pct"/>
            <w:tcBorders>
              <w:top w:val="nil"/>
              <w:left w:val="nil"/>
              <w:bottom w:val="nil"/>
              <w:right w:val="nil"/>
            </w:tcBorders>
          </w:tcPr>
          <w:p w14:paraId="70EB717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(0.090)</w:t>
            </w:r>
          </w:p>
        </w:tc>
      </w:tr>
      <w:tr w:rsidR="002A175E" w:rsidRPr="00A04F75" w14:paraId="767A217C" w14:textId="77777777" w:rsidTr="002A175E">
        <w:tc>
          <w:tcPr>
            <w:tcW w:w="1633" w:type="pct"/>
            <w:tcBorders>
              <w:top w:val="nil"/>
              <w:left w:val="nil"/>
              <w:bottom w:val="nil"/>
              <w:right w:val="nil"/>
            </w:tcBorders>
          </w:tcPr>
          <w:p w14:paraId="717491B8"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0073496"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F7911F8"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2B328C3"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E2FC097"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68FC5584"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3369A20A"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r>
      <w:tr w:rsidR="002A175E" w:rsidRPr="00A04F75" w14:paraId="44B7FB17" w14:textId="77777777" w:rsidTr="002A175E">
        <w:tc>
          <w:tcPr>
            <w:tcW w:w="1633" w:type="pct"/>
            <w:vMerge w:val="restart"/>
            <w:tcBorders>
              <w:top w:val="nil"/>
              <w:left w:val="nil"/>
              <w:right w:val="nil"/>
            </w:tcBorders>
          </w:tcPr>
          <w:p w14:paraId="466399AB" w14:textId="77777777" w:rsidR="002A175E" w:rsidRPr="00A04F75"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Implemented austerity in </w:t>
            </w:r>
            <w:r>
              <w:rPr>
                <w:rFonts w:ascii="Times New Roman" w:hAnsi="Times New Roman" w:cs="Times New Roman"/>
                <w:szCs w:val="24"/>
              </w:rPr>
              <w:t>current year</w:t>
            </w:r>
          </w:p>
        </w:tc>
        <w:tc>
          <w:tcPr>
            <w:tcW w:w="560" w:type="pct"/>
            <w:tcBorders>
              <w:top w:val="nil"/>
              <w:left w:val="nil"/>
              <w:bottom w:val="nil"/>
              <w:right w:val="nil"/>
            </w:tcBorders>
          </w:tcPr>
          <w:p w14:paraId="760B0644"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FFC540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E30EED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6481EA1"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-5.70</w:t>
            </w:r>
          </w:p>
        </w:tc>
        <w:tc>
          <w:tcPr>
            <w:tcW w:w="557" w:type="pct"/>
            <w:tcBorders>
              <w:top w:val="nil"/>
              <w:left w:val="nil"/>
              <w:bottom w:val="nil"/>
              <w:right w:val="nil"/>
            </w:tcBorders>
          </w:tcPr>
          <w:p w14:paraId="37CBBC83"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-6.17</w:t>
            </w:r>
          </w:p>
        </w:tc>
        <w:tc>
          <w:tcPr>
            <w:tcW w:w="570" w:type="pct"/>
            <w:tcBorders>
              <w:top w:val="nil"/>
              <w:left w:val="nil"/>
              <w:bottom w:val="nil"/>
              <w:right w:val="nil"/>
            </w:tcBorders>
          </w:tcPr>
          <w:p w14:paraId="1E0BC602"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-7.52</w:t>
            </w:r>
          </w:p>
        </w:tc>
      </w:tr>
      <w:tr w:rsidR="002A175E" w:rsidRPr="00A04F75" w14:paraId="2DBEAC23" w14:textId="77777777" w:rsidTr="002A175E">
        <w:tc>
          <w:tcPr>
            <w:tcW w:w="1633" w:type="pct"/>
            <w:vMerge/>
            <w:tcBorders>
              <w:left w:val="nil"/>
              <w:bottom w:val="nil"/>
              <w:right w:val="nil"/>
            </w:tcBorders>
          </w:tcPr>
          <w:p w14:paraId="61287C51"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9361CE5"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BFF657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FE5669E"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4E9E9F0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(5.51)</w:t>
            </w:r>
          </w:p>
        </w:tc>
        <w:tc>
          <w:tcPr>
            <w:tcW w:w="557" w:type="pct"/>
            <w:tcBorders>
              <w:top w:val="nil"/>
              <w:left w:val="nil"/>
              <w:bottom w:val="nil"/>
              <w:right w:val="nil"/>
            </w:tcBorders>
          </w:tcPr>
          <w:p w14:paraId="3648A60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(5.53)</w:t>
            </w:r>
          </w:p>
        </w:tc>
        <w:tc>
          <w:tcPr>
            <w:tcW w:w="570" w:type="pct"/>
            <w:tcBorders>
              <w:top w:val="nil"/>
              <w:left w:val="nil"/>
              <w:bottom w:val="nil"/>
              <w:right w:val="nil"/>
            </w:tcBorders>
          </w:tcPr>
          <w:p w14:paraId="1C16B230"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(5.86)</w:t>
            </w:r>
          </w:p>
        </w:tc>
      </w:tr>
      <w:tr w:rsidR="002A175E" w:rsidRPr="00A04F75" w14:paraId="1E58363F" w14:textId="77777777" w:rsidTr="002A175E">
        <w:tc>
          <w:tcPr>
            <w:tcW w:w="1633" w:type="pct"/>
            <w:tcBorders>
              <w:top w:val="nil"/>
              <w:left w:val="nil"/>
              <w:bottom w:val="nil"/>
              <w:right w:val="nil"/>
            </w:tcBorders>
          </w:tcPr>
          <w:p w14:paraId="06DE863F"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1D0D5F6"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3AD053F"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FAF3BA4"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0900927"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30BBD956"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318D8C9D"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r>
      <w:tr w:rsidR="002A175E" w:rsidRPr="00A04F75" w14:paraId="061D6C63" w14:textId="77777777" w:rsidTr="002A175E">
        <w:tc>
          <w:tcPr>
            <w:tcW w:w="1633" w:type="pct"/>
            <w:vMerge w:val="restart"/>
            <w:tcBorders>
              <w:top w:val="nil"/>
              <w:left w:val="nil"/>
              <w:right w:val="nil"/>
            </w:tcBorders>
          </w:tcPr>
          <w:p w14:paraId="3925CA7E" w14:textId="77777777" w:rsidR="002A175E" w:rsidRPr="00A04F75"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IMF bailout active in </w:t>
            </w:r>
            <w:r>
              <w:rPr>
                <w:rFonts w:ascii="Times New Roman" w:hAnsi="Times New Roman" w:cs="Times New Roman"/>
                <w:szCs w:val="24"/>
              </w:rPr>
              <w:t>current year</w:t>
            </w:r>
            <w:r w:rsidRPr="00A04F75">
              <w:rPr>
                <w:rFonts w:ascii="Times New Roman" w:hAnsi="Times New Roman" w:cs="Times New Roman"/>
                <w:szCs w:val="24"/>
              </w:rPr>
              <w:t xml:space="preserve"> </w:t>
            </w:r>
          </w:p>
        </w:tc>
        <w:tc>
          <w:tcPr>
            <w:tcW w:w="560" w:type="pct"/>
            <w:tcBorders>
              <w:top w:val="nil"/>
              <w:left w:val="nil"/>
              <w:bottom w:val="nil"/>
              <w:right w:val="nil"/>
            </w:tcBorders>
          </w:tcPr>
          <w:p w14:paraId="79D61D6C"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633B212"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8431D81"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1CFA3D9"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05CD885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6.69</w:t>
            </w:r>
          </w:p>
        </w:tc>
        <w:tc>
          <w:tcPr>
            <w:tcW w:w="570" w:type="pct"/>
            <w:tcBorders>
              <w:top w:val="nil"/>
              <w:left w:val="nil"/>
              <w:bottom w:val="nil"/>
              <w:right w:val="nil"/>
            </w:tcBorders>
          </w:tcPr>
          <w:p w14:paraId="38F4102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7.69</w:t>
            </w:r>
          </w:p>
        </w:tc>
      </w:tr>
      <w:tr w:rsidR="002A175E" w:rsidRPr="00A04F75" w14:paraId="7376EF3C" w14:textId="77777777" w:rsidTr="002A175E">
        <w:tc>
          <w:tcPr>
            <w:tcW w:w="1633" w:type="pct"/>
            <w:vMerge/>
            <w:tcBorders>
              <w:left w:val="nil"/>
              <w:bottom w:val="nil"/>
              <w:right w:val="nil"/>
            </w:tcBorders>
          </w:tcPr>
          <w:p w14:paraId="31D3C3DE"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40DF471"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46674FE4"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0470CA8E"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6174C33"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76D33D94"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(12.4)</w:t>
            </w:r>
          </w:p>
        </w:tc>
        <w:tc>
          <w:tcPr>
            <w:tcW w:w="570" w:type="pct"/>
            <w:tcBorders>
              <w:top w:val="nil"/>
              <w:left w:val="nil"/>
              <w:bottom w:val="nil"/>
              <w:right w:val="nil"/>
            </w:tcBorders>
          </w:tcPr>
          <w:p w14:paraId="20EE5D1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(12.1)</w:t>
            </w:r>
          </w:p>
        </w:tc>
      </w:tr>
      <w:tr w:rsidR="002A175E" w:rsidRPr="00A04F75" w14:paraId="16D01F4B" w14:textId="77777777" w:rsidTr="002A175E">
        <w:tc>
          <w:tcPr>
            <w:tcW w:w="1633" w:type="pct"/>
            <w:tcBorders>
              <w:top w:val="nil"/>
              <w:left w:val="nil"/>
              <w:bottom w:val="nil"/>
              <w:right w:val="nil"/>
            </w:tcBorders>
          </w:tcPr>
          <w:p w14:paraId="34C4B880"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9E6C8F5"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5B863A1"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DD2DE72"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DAC95C8"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30FACF62"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20F29F25"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r>
      <w:tr w:rsidR="002A175E" w:rsidRPr="00A04F75" w14:paraId="39B9722B" w14:textId="77777777" w:rsidTr="002A175E">
        <w:tc>
          <w:tcPr>
            <w:tcW w:w="1633" w:type="pct"/>
            <w:tcBorders>
              <w:top w:val="nil"/>
              <w:left w:val="nil"/>
              <w:bottom w:val="nil"/>
              <w:right w:val="nil"/>
            </w:tcBorders>
          </w:tcPr>
          <w:p w14:paraId="494D3359" w14:textId="77777777" w:rsidR="002A175E" w:rsidRPr="00A04F75"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Left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560" w:type="pct"/>
            <w:tcBorders>
              <w:top w:val="nil"/>
              <w:left w:val="nil"/>
              <w:bottom w:val="nil"/>
              <w:right w:val="nil"/>
            </w:tcBorders>
          </w:tcPr>
          <w:p w14:paraId="31B7B287"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F48ACAC"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2153533"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2A6C2F7"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2292449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605F0E6E"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-9.17</w:t>
            </w:r>
          </w:p>
        </w:tc>
      </w:tr>
      <w:tr w:rsidR="002A175E" w:rsidRPr="00A04F75" w14:paraId="12B9D52B" w14:textId="77777777" w:rsidTr="002A175E">
        <w:tc>
          <w:tcPr>
            <w:tcW w:w="1633" w:type="pct"/>
            <w:tcBorders>
              <w:top w:val="nil"/>
              <w:left w:val="nil"/>
              <w:bottom w:val="nil"/>
              <w:right w:val="nil"/>
            </w:tcBorders>
          </w:tcPr>
          <w:p w14:paraId="1A5DBE28"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954B28A"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1521FD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69C4E6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57984D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31E9EC65"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761EB2AF"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(6.95)</w:t>
            </w:r>
          </w:p>
        </w:tc>
      </w:tr>
      <w:tr w:rsidR="002A175E" w:rsidRPr="00A04F75" w14:paraId="5EF40838" w14:textId="77777777" w:rsidTr="002A175E">
        <w:tc>
          <w:tcPr>
            <w:tcW w:w="1633" w:type="pct"/>
            <w:tcBorders>
              <w:top w:val="nil"/>
              <w:left w:val="nil"/>
              <w:bottom w:val="nil"/>
              <w:right w:val="nil"/>
            </w:tcBorders>
          </w:tcPr>
          <w:p w14:paraId="7E33942E"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BC8A671"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BA60F18"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C9E07F4"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5A3D569"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393EF8B5"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3FD8103F"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r>
      <w:tr w:rsidR="002A175E" w:rsidRPr="00A04F75" w14:paraId="6B24CB56" w14:textId="77777777" w:rsidTr="002A175E">
        <w:tc>
          <w:tcPr>
            <w:tcW w:w="1633" w:type="pct"/>
            <w:tcBorders>
              <w:top w:val="nil"/>
              <w:left w:val="nil"/>
              <w:bottom w:val="nil"/>
              <w:right w:val="nil"/>
            </w:tcBorders>
          </w:tcPr>
          <w:p w14:paraId="52EC232F" w14:textId="77777777" w:rsidR="002A175E" w:rsidRPr="00A04F75"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Right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560" w:type="pct"/>
            <w:tcBorders>
              <w:top w:val="nil"/>
              <w:left w:val="nil"/>
              <w:bottom w:val="nil"/>
              <w:right w:val="nil"/>
            </w:tcBorders>
          </w:tcPr>
          <w:p w14:paraId="480EAFE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67FAF2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B6F2A69"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2BABD50"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20FD5E43"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3315ECA9"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-9.28</w:t>
            </w:r>
          </w:p>
        </w:tc>
      </w:tr>
      <w:tr w:rsidR="002A175E" w:rsidRPr="00A04F75" w14:paraId="07DF56C8" w14:textId="77777777" w:rsidTr="002A175E">
        <w:tc>
          <w:tcPr>
            <w:tcW w:w="1633" w:type="pct"/>
            <w:tcBorders>
              <w:top w:val="nil"/>
              <w:left w:val="nil"/>
              <w:bottom w:val="nil"/>
              <w:right w:val="nil"/>
            </w:tcBorders>
          </w:tcPr>
          <w:p w14:paraId="7D998811"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605EEB0"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CA288D1"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2677A3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06C863F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50B0391F"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138C4929"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(7.19)</w:t>
            </w:r>
          </w:p>
        </w:tc>
      </w:tr>
      <w:tr w:rsidR="002A175E" w:rsidRPr="00A04F75" w14:paraId="6F64A6F5" w14:textId="77777777" w:rsidTr="002A175E">
        <w:tc>
          <w:tcPr>
            <w:tcW w:w="1633" w:type="pct"/>
            <w:tcBorders>
              <w:top w:val="nil"/>
              <w:left w:val="nil"/>
              <w:bottom w:val="nil"/>
              <w:right w:val="nil"/>
            </w:tcBorders>
          </w:tcPr>
          <w:p w14:paraId="1E10E291"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8D09917"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58DB49D"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856B9C8"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2222A2F"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53B948EE"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062FB5F8" w14:textId="77777777" w:rsidR="002A175E" w:rsidRPr="00A04F75" w:rsidRDefault="002A175E" w:rsidP="002A175E">
            <w:pPr>
              <w:widowControl w:val="0"/>
              <w:autoSpaceDE w:val="0"/>
              <w:autoSpaceDN w:val="0"/>
              <w:adjustRightInd w:val="0"/>
              <w:rPr>
                <w:rFonts w:ascii="Times New Roman" w:hAnsi="Times New Roman" w:cs="Times New Roman"/>
                <w:szCs w:val="24"/>
              </w:rPr>
            </w:pPr>
          </w:p>
        </w:tc>
      </w:tr>
      <w:tr w:rsidR="002A175E" w:rsidRPr="00A04F75" w14:paraId="5CF24684" w14:textId="77777777" w:rsidTr="002A175E">
        <w:tc>
          <w:tcPr>
            <w:tcW w:w="1633" w:type="pct"/>
            <w:tcBorders>
              <w:top w:val="single" w:sz="4" w:space="0" w:color="auto"/>
              <w:left w:val="nil"/>
              <w:right w:val="nil"/>
            </w:tcBorders>
          </w:tcPr>
          <w:p w14:paraId="03660A3B" w14:textId="77777777" w:rsidR="002A175E" w:rsidRPr="00A04F75"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Country-years</w:t>
            </w:r>
          </w:p>
        </w:tc>
        <w:tc>
          <w:tcPr>
            <w:tcW w:w="560" w:type="pct"/>
            <w:tcBorders>
              <w:top w:val="single" w:sz="4" w:space="0" w:color="auto"/>
              <w:left w:val="nil"/>
              <w:right w:val="nil"/>
            </w:tcBorders>
          </w:tcPr>
          <w:p w14:paraId="7CA32B68"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302</w:t>
            </w:r>
          </w:p>
        </w:tc>
        <w:tc>
          <w:tcPr>
            <w:tcW w:w="560" w:type="pct"/>
            <w:tcBorders>
              <w:top w:val="single" w:sz="4" w:space="0" w:color="auto"/>
              <w:left w:val="nil"/>
              <w:right w:val="nil"/>
            </w:tcBorders>
          </w:tcPr>
          <w:p w14:paraId="1AC53AE8"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293</w:t>
            </w:r>
          </w:p>
        </w:tc>
        <w:tc>
          <w:tcPr>
            <w:tcW w:w="560" w:type="pct"/>
            <w:tcBorders>
              <w:top w:val="single" w:sz="4" w:space="0" w:color="auto"/>
              <w:left w:val="nil"/>
              <w:right w:val="nil"/>
            </w:tcBorders>
          </w:tcPr>
          <w:p w14:paraId="1B718F28"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284</w:t>
            </w:r>
          </w:p>
        </w:tc>
        <w:tc>
          <w:tcPr>
            <w:tcW w:w="560" w:type="pct"/>
            <w:tcBorders>
              <w:top w:val="single" w:sz="4" w:space="0" w:color="auto"/>
              <w:left w:val="nil"/>
              <w:right w:val="nil"/>
            </w:tcBorders>
          </w:tcPr>
          <w:p w14:paraId="6E8D9FD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275</w:t>
            </w:r>
          </w:p>
        </w:tc>
        <w:tc>
          <w:tcPr>
            <w:tcW w:w="557" w:type="pct"/>
            <w:tcBorders>
              <w:top w:val="single" w:sz="4" w:space="0" w:color="auto"/>
              <w:left w:val="nil"/>
              <w:right w:val="nil"/>
            </w:tcBorders>
          </w:tcPr>
          <w:p w14:paraId="4A39B852"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275</w:t>
            </w:r>
          </w:p>
        </w:tc>
        <w:tc>
          <w:tcPr>
            <w:tcW w:w="570" w:type="pct"/>
            <w:tcBorders>
              <w:top w:val="single" w:sz="4" w:space="0" w:color="auto"/>
              <w:left w:val="nil"/>
              <w:right w:val="nil"/>
            </w:tcBorders>
          </w:tcPr>
          <w:p w14:paraId="23610B11"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254</w:t>
            </w:r>
          </w:p>
        </w:tc>
      </w:tr>
      <w:tr w:rsidR="002A175E" w:rsidRPr="00A04F75" w14:paraId="4825004F" w14:textId="77777777" w:rsidTr="002A175E">
        <w:tc>
          <w:tcPr>
            <w:tcW w:w="1633" w:type="pct"/>
            <w:tcBorders>
              <w:top w:val="nil"/>
              <w:left w:val="nil"/>
              <w:right w:val="nil"/>
            </w:tcBorders>
          </w:tcPr>
          <w:p w14:paraId="558830C2" w14:textId="77777777" w:rsidR="002A175E" w:rsidRPr="00A04F75" w:rsidRDefault="002A175E" w:rsidP="002A175E">
            <w:pPr>
              <w:widowControl w:val="0"/>
              <w:autoSpaceDE w:val="0"/>
              <w:autoSpaceDN w:val="0"/>
              <w:adjustRightInd w:val="0"/>
              <w:rPr>
                <w:rFonts w:ascii="Times New Roman" w:hAnsi="Times New Roman" w:cs="Times New Roman"/>
                <w:iCs/>
                <w:szCs w:val="24"/>
              </w:rPr>
            </w:pPr>
            <w:r w:rsidRPr="00A04F75">
              <w:rPr>
                <w:rFonts w:ascii="Times New Roman" w:hAnsi="Times New Roman" w:cs="Times New Roman"/>
                <w:iCs/>
                <w:szCs w:val="24"/>
              </w:rPr>
              <w:t>Countries</w:t>
            </w:r>
          </w:p>
        </w:tc>
        <w:tc>
          <w:tcPr>
            <w:tcW w:w="560" w:type="pct"/>
            <w:tcBorders>
              <w:top w:val="nil"/>
              <w:left w:val="nil"/>
              <w:right w:val="nil"/>
            </w:tcBorders>
          </w:tcPr>
          <w:p w14:paraId="64C37783"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21</w:t>
            </w:r>
          </w:p>
        </w:tc>
        <w:tc>
          <w:tcPr>
            <w:tcW w:w="560" w:type="pct"/>
            <w:tcBorders>
              <w:top w:val="nil"/>
              <w:left w:val="nil"/>
              <w:right w:val="nil"/>
            </w:tcBorders>
          </w:tcPr>
          <w:p w14:paraId="39CCD227"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21</w:t>
            </w:r>
          </w:p>
        </w:tc>
        <w:tc>
          <w:tcPr>
            <w:tcW w:w="560" w:type="pct"/>
            <w:tcBorders>
              <w:top w:val="nil"/>
              <w:left w:val="nil"/>
              <w:right w:val="nil"/>
            </w:tcBorders>
          </w:tcPr>
          <w:p w14:paraId="01A6FBC9"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21</w:t>
            </w:r>
          </w:p>
        </w:tc>
        <w:tc>
          <w:tcPr>
            <w:tcW w:w="560" w:type="pct"/>
            <w:tcBorders>
              <w:top w:val="nil"/>
              <w:left w:val="nil"/>
              <w:right w:val="nil"/>
            </w:tcBorders>
          </w:tcPr>
          <w:p w14:paraId="7E160AC8"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21</w:t>
            </w:r>
          </w:p>
        </w:tc>
        <w:tc>
          <w:tcPr>
            <w:tcW w:w="557" w:type="pct"/>
            <w:tcBorders>
              <w:top w:val="nil"/>
              <w:left w:val="nil"/>
              <w:right w:val="nil"/>
            </w:tcBorders>
          </w:tcPr>
          <w:p w14:paraId="2EA8A6C6"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21</w:t>
            </w:r>
          </w:p>
        </w:tc>
        <w:tc>
          <w:tcPr>
            <w:tcW w:w="570" w:type="pct"/>
            <w:tcBorders>
              <w:top w:val="nil"/>
              <w:left w:val="nil"/>
              <w:right w:val="nil"/>
            </w:tcBorders>
          </w:tcPr>
          <w:p w14:paraId="1712D293"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21</w:t>
            </w:r>
          </w:p>
        </w:tc>
      </w:tr>
      <w:tr w:rsidR="002A175E" w:rsidRPr="00A04F75" w14:paraId="2165F68F" w14:textId="77777777" w:rsidTr="002A175E">
        <w:tc>
          <w:tcPr>
            <w:tcW w:w="1633" w:type="pct"/>
            <w:tcBorders>
              <w:left w:val="nil"/>
              <w:bottom w:val="single" w:sz="4" w:space="0" w:color="auto"/>
              <w:right w:val="nil"/>
            </w:tcBorders>
          </w:tcPr>
          <w:p w14:paraId="4E89A54C" w14:textId="77777777" w:rsidR="002A175E" w:rsidRPr="00A04F75" w:rsidRDefault="002A175E" w:rsidP="002A175E">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i/>
                <w:iCs/>
                <w:szCs w:val="24"/>
              </w:rPr>
              <w:t>R</w:t>
            </w:r>
            <w:r w:rsidRPr="00A04F75">
              <w:rPr>
                <w:rFonts w:ascii="Times New Roman" w:hAnsi="Times New Roman" w:cs="Times New Roman"/>
                <w:szCs w:val="24"/>
                <w:vertAlign w:val="superscript"/>
              </w:rPr>
              <w:t>2</w:t>
            </w:r>
          </w:p>
        </w:tc>
        <w:tc>
          <w:tcPr>
            <w:tcW w:w="560" w:type="pct"/>
            <w:tcBorders>
              <w:left w:val="nil"/>
              <w:bottom w:val="single" w:sz="4" w:space="0" w:color="auto"/>
              <w:right w:val="nil"/>
            </w:tcBorders>
          </w:tcPr>
          <w:p w14:paraId="11974335"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560" w:type="pct"/>
            <w:tcBorders>
              <w:left w:val="nil"/>
              <w:bottom w:val="single" w:sz="4" w:space="0" w:color="auto"/>
              <w:right w:val="nil"/>
            </w:tcBorders>
          </w:tcPr>
          <w:p w14:paraId="72F9FFA0"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560" w:type="pct"/>
            <w:tcBorders>
              <w:left w:val="nil"/>
              <w:bottom w:val="single" w:sz="4" w:space="0" w:color="auto"/>
              <w:right w:val="nil"/>
            </w:tcBorders>
          </w:tcPr>
          <w:p w14:paraId="7BD07FE1"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0.12</w:t>
            </w:r>
          </w:p>
        </w:tc>
        <w:tc>
          <w:tcPr>
            <w:tcW w:w="560" w:type="pct"/>
            <w:tcBorders>
              <w:left w:val="nil"/>
              <w:bottom w:val="single" w:sz="4" w:space="0" w:color="auto"/>
              <w:right w:val="nil"/>
            </w:tcBorders>
          </w:tcPr>
          <w:p w14:paraId="08C6C42B"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0.12</w:t>
            </w:r>
          </w:p>
        </w:tc>
        <w:tc>
          <w:tcPr>
            <w:tcW w:w="557" w:type="pct"/>
            <w:tcBorders>
              <w:left w:val="nil"/>
              <w:bottom w:val="single" w:sz="4" w:space="0" w:color="auto"/>
              <w:right w:val="nil"/>
            </w:tcBorders>
          </w:tcPr>
          <w:p w14:paraId="4C60489D"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0.12</w:t>
            </w:r>
          </w:p>
        </w:tc>
        <w:tc>
          <w:tcPr>
            <w:tcW w:w="570" w:type="pct"/>
            <w:tcBorders>
              <w:left w:val="nil"/>
              <w:bottom w:val="single" w:sz="4" w:space="0" w:color="auto"/>
              <w:right w:val="nil"/>
            </w:tcBorders>
          </w:tcPr>
          <w:p w14:paraId="24CE8235" w14:textId="77777777" w:rsidR="002A175E" w:rsidRPr="00A04F75" w:rsidRDefault="002A175E" w:rsidP="002A175E">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0.14</w:t>
            </w:r>
          </w:p>
        </w:tc>
      </w:tr>
    </w:tbl>
    <w:p w14:paraId="5FB0947A" w14:textId="77777777" w:rsidR="006937C8" w:rsidRPr="002F3B34" w:rsidRDefault="006937C8" w:rsidP="00A84EB0">
      <w:pPr>
        <w:widowControl w:val="0"/>
        <w:autoSpaceDE w:val="0"/>
        <w:autoSpaceDN w:val="0"/>
        <w:adjustRightInd w:val="0"/>
        <w:rPr>
          <w:rFonts w:ascii="Times New Roman" w:hAnsi="Times New Roman" w:cs="Times New Roman"/>
          <w:sz w:val="20"/>
          <w:szCs w:val="20"/>
        </w:rPr>
      </w:pPr>
      <w:r w:rsidRPr="00A84EB0">
        <w:rPr>
          <w:rFonts w:ascii="Times New Roman" w:hAnsi="Times New Roman" w:cs="Times New Roman"/>
          <w:i/>
          <w:sz w:val="20"/>
          <w:szCs w:val="20"/>
        </w:rPr>
        <w:t>Notes:</w:t>
      </w:r>
      <w:r w:rsidR="002A175E">
        <w:rPr>
          <w:rFonts w:ascii="Times New Roman" w:hAnsi="Times New Roman" w:cs="Times New Roman"/>
          <w:sz w:val="20"/>
          <w:szCs w:val="20"/>
        </w:rPr>
        <w:t xml:space="preserve"> </w:t>
      </w:r>
      <w:r w:rsidRPr="002F3B34">
        <w:rPr>
          <w:rFonts w:ascii="Times New Roman" w:hAnsi="Times New Roman" w:cs="Times New Roman"/>
          <w:sz w:val="20"/>
          <w:szCs w:val="20"/>
        </w:rPr>
        <w:t>Source: EuroStat 2013 edition, IMF MONA 2013 edition, World Bank Political Institutions Database 2013 edition.</w:t>
      </w:r>
    </w:p>
    <w:p w14:paraId="143D05EF" w14:textId="77777777" w:rsidR="006937C8" w:rsidRPr="002F3B34" w:rsidRDefault="006937C8" w:rsidP="006937C8">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 xml:space="preserve">Standard errors in parentheses, adjusted for repeated observations: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0.05,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0.01</w:t>
      </w:r>
    </w:p>
    <w:p w14:paraId="04194DBC" w14:textId="77777777" w:rsidR="008357CC" w:rsidRPr="006D3D69" w:rsidRDefault="008357CC" w:rsidP="008357CC">
      <w:pPr>
        <w:widowControl w:val="0"/>
        <w:autoSpaceDE w:val="0"/>
        <w:autoSpaceDN w:val="0"/>
        <w:adjustRightInd w:val="0"/>
        <w:rPr>
          <w:rFonts w:ascii="Times New Roman" w:hAnsi="Times New Roman" w:cs="Times New Roman"/>
          <w:bCs/>
          <w:sz w:val="20"/>
          <w:szCs w:val="20"/>
        </w:rPr>
      </w:pPr>
      <w:r w:rsidRPr="006D3D69">
        <w:rPr>
          <w:rFonts w:ascii="Times New Roman" w:hAnsi="Times New Roman" w:cs="Times New Roman"/>
          <w:bCs/>
          <w:sz w:val="20"/>
          <w:szCs w:val="20"/>
          <w:vertAlign w:val="superscript"/>
        </w:rPr>
        <w:t xml:space="preserve">† </w:t>
      </w:r>
      <w:r w:rsidRPr="006D3D69">
        <w:rPr>
          <w:rFonts w:ascii="Times New Roman" w:hAnsi="Times New Roman" w:cs="Times New Roman"/>
          <w:bCs/>
          <w:sz w:val="20"/>
          <w:szCs w:val="20"/>
        </w:rPr>
        <w:t>- units in real per capita, in constant purchasing-power-parity USD</w:t>
      </w:r>
    </w:p>
    <w:p w14:paraId="59C7E9B5" w14:textId="77777777" w:rsidR="008357CC" w:rsidRPr="00C10BE4" w:rsidRDefault="008357CC" w:rsidP="008357CC">
      <w:pPr>
        <w:widowControl w:val="0"/>
        <w:autoSpaceDE w:val="0"/>
        <w:autoSpaceDN w:val="0"/>
        <w:adjustRightInd w:val="0"/>
        <w:rPr>
          <w:rFonts w:ascii="Times New Roman" w:hAnsi="Times New Roman" w:cs="Times New Roman"/>
          <w:sz w:val="20"/>
          <w:szCs w:val="20"/>
        </w:rPr>
      </w:pPr>
      <w:r w:rsidRPr="00C10BE4">
        <w:rPr>
          <w:rFonts w:ascii="Times New Roman" w:hAnsi="Times New Roman" w:cs="Times New Roman"/>
          <w:sz w:val="20"/>
          <w:szCs w:val="20"/>
        </w:rPr>
        <w:t>˚ Baseline category is Centre. Taken from the World Bank Political Institutions database, Left governing party and Right governing party are measures of the economic ideology of the governing party (or the party whose leader is head of a coalition) derived from party manifestos.</w:t>
      </w:r>
    </w:p>
    <w:p w14:paraId="655D985F" w14:textId="77777777" w:rsidR="008357CC" w:rsidRDefault="008357CC" w:rsidP="008357CC">
      <w:pPr>
        <w:rPr>
          <w:rFonts w:ascii="Times New Roman" w:hAnsi="Times New Roman" w:cs="Times New Roman"/>
          <w:szCs w:val="24"/>
        </w:rPr>
      </w:pPr>
      <w:r w:rsidRPr="006D3D69">
        <w:rPr>
          <w:rFonts w:ascii="Times New Roman" w:hAnsi="Times New Roman" w:cs="Times New Roman"/>
          <w:sz w:val="20"/>
          <w:szCs w:val="20"/>
        </w:rPr>
        <w:t>IMF bailouts include Stand-by Arrangements, usually short-term lending to states to cover the effect of unanticipated shocks, and Extended Fund Facilities, which are usually medium- or long-term lending programmes aimed at overcoming weaknesses in the national economy which may have precipitated or exacerbated the shock.</w:t>
      </w:r>
    </w:p>
    <w:p w14:paraId="52AB69A0" w14:textId="77777777" w:rsidR="008357CC" w:rsidRDefault="008357CC" w:rsidP="00240494">
      <w:pPr>
        <w:rPr>
          <w:rFonts w:ascii="Times New Roman" w:hAnsi="Times New Roman" w:cs="Times New Roman"/>
          <w:szCs w:val="24"/>
        </w:rPr>
      </w:pPr>
    </w:p>
    <w:p w14:paraId="14FFF54C" w14:textId="77777777" w:rsidR="008357CC" w:rsidRDefault="008357CC" w:rsidP="00240494">
      <w:pPr>
        <w:rPr>
          <w:rFonts w:ascii="Times New Roman" w:hAnsi="Times New Roman" w:cs="Times New Roman"/>
          <w:szCs w:val="24"/>
        </w:rPr>
      </w:pPr>
    </w:p>
    <w:p w14:paraId="3A7213BD" w14:textId="77777777" w:rsidR="008357CC" w:rsidRPr="002F3B34" w:rsidRDefault="008357CC" w:rsidP="00240494">
      <w:pPr>
        <w:rPr>
          <w:rFonts w:ascii="Times New Roman" w:hAnsi="Times New Roman" w:cs="Times New Roman"/>
          <w:szCs w:val="24"/>
        </w:rPr>
      </w:pPr>
    </w:p>
    <w:p w14:paraId="456C1D2A" w14:textId="77777777" w:rsidR="006F0649" w:rsidRDefault="006D3D69">
      <w:pPr>
        <w:widowControl w:val="0"/>
        <w:autoSpaceDE w:val="0"/>
        <w:autoSpaceDN w:val="0"/>
        <w:adjustRightInd w:val="0"/>
        <w:rPr>
          <w:rFonts w:ascii="Times New Roman" w:hAnsi="Times New Roman" w:cs="Times New Roman"/>
          <w:sz w:val="20"/>
          <w:szCs w:val="20"/>
        </w:rPr>
      </w:pPr>
      <w:r w:rsidRPr="006D3D69">
        <w:rPr>
          <w:rFonts w:ascii="Times New Roman" w:hAnsi="Times New Roman" w:cs="Times New Roman"/>
          <w:sz w:val="20"/>
          <w:szCs w:val="20"/>
        </w:rPr>
        <w:t xml:space="preserve">   </w:t>
      </w:r>
    </w:p>
    <w:p w14:paraId="5FA7B67D" w14:textId="77777777" w:rsidR="006937C8" w:rsidRPr="00A04F75" w:rsidRDefault="006937C8">
      <w:pPr>
        <w:rPr>
          <w:rFonts w:ascii="Times New Roman" w:hAnsi="Times New Roman" w:cs="Times New Roman"/>
          <w:szCs w:val="24"/>
        </w:rPr>
      </w:pPr>
    </w:p>
    <w:p w14:paraId="4010B845" w14:textId="77777777" w:rsidR="00240494" w:rsidRPr="00A04F75" w:rsidRDefault="00240494" w:rsidP="005243C3">
      <w:pPr>
        <w:rPr>
          <w:rFonts w:ascii="Times New Roman" w:hAnsi="Times New Roman" w:cs="Times New Roman"/>
          <w:szCs w:val="24"/>
        </w:rPr>
        <w:sectPr w:rsidR="00240494" w:rsidRPr="00A04F75" w:rsidSect="00C452D5">
          <w:pgSz w:w="11906" w:h="16838"/>
          <w:pgMar w:top="1440" w:right="1440" w:bottom="1440" w:left="1440" w:header="708" w:footer="708" w:gutter="0"/>
          <w:cols w:space="708"/>
          <w:docGrid w:linePitch="360"/>
        </w:sectPr>
      </w:pPr>
    </w:p>
    <w:p w14:paraId="5C7A0741" w14:textId="77777777" w:rsidR="00240494" w:rsidRPr="00A04F75" w:rsidRDefault="00782C9C" w:rsidP="00240494">
      <w:pPr>
        <w:rPr>
          <w:rFonts w:ascii="Times New Roman" w:hAnsi="Times New Roman" w:cs="Times New Roman"/>
          <w:szCs w:val="24"/>
        </w:rPr>
      </w:pPr>
      <w:r w:rsidRPr="00A04F75">
        <w:rPr>
          <w:rFonts w:ascii="Times New Roman" w:hAnsi="Times New Roman" w:cs="Times New Roman"/>
          <w:szCs w:val="24"/>
        </w:rPr>
        <w:t>Web Appendix 1</w:t>
      </w:r>
      <w:r w:rsidR="00585500">
        <w:rPr>
          <w:rFonts w:ascii="Times New Roman" w:hAnsi="Times New Roman" w:cs="Times New Roman"/>
          <w:szCs w:val="24"/>
        </w:rPr>
        <w:t>2</w:t>
      </w:r>
      <w:r w:rsidR="00240494" w:rsidRPr="00A04F75">
        <w:rPr>
          <w:rFonts w:ascii="Times New Roman" w:hAnsi="Times New Roman" w:cs="Times New Roman"/>
          <w:szCs w:val="24"/>
        </w:rPr>
        <w:t xml:space="preserve">: Economic and political determinants of annual change in health spending on </w:t>
      </w:r>
      <w:r w:rsidRPr="00A04F75">
        <w:rPr>
          <w:rFonts w:ascii="Times New Roman" w:hAnsi="Times New Roman" w:cs="Times New Roman"/>
          <w:szCs w:val="24"/>
        </w:rPr>
        <w:t xml:space="preserve">change in the level of private healthcare spending </w:t>
      </w:r>
      <w:r w:rsidR="00240494" w:rsidRPr="00A04F75">
        <w:rPr>
          <w:rFonts w:ascii="Times New Roman" w:hAnsi="Times New Roman" w:cs="Times New Roman"/>
          <w:szCs w:val="24"/>
        </w:rPr>
        <w:t>among 21 EU countries, 1995-2011</w:t>
      </w:r>
    </w:p>
    <w:tbl>
      <w:tblPr>
        <w:tblW w:w="0" w:type="auto"/>
        <w:tblLayout w:type="fixed"/>
        <w:tblLook w:val="0000" w:firstRow="0" w:lastRow="0" w:firstColumn="0" w:lastColumn="0" w:noHBand="0" w:noVBand="0"/>
      </w:tblPr>
      <w:tblGrid>
        <w:gridCol w:w="6771"/>
        <w:gridCol w:w="956"/>
        <w:gridCol w:w="956"/>
        <w:gridCol w:w="956"/>
        <w:gridCol w:w="956"/>
        <w:gridCol w:w="956"/>
        <w:gridCol w:w="956"/>
        <w:gridCol w:w="956"/>
      </w:tblGrid>
      <w:tr w:rsidR="00240494" w:rsidRPr="00A04F75" w14:paraId="6A2DC3AB" w14:textId="77777777" w:rsidTr="00240494">
        <w:tc>
          <w:tcPr>
            <w:tcW w:w="6771" w:type="dxa"/>
            <w:tcBorders>
              <w:top w:val="single" w:sz="4" w:space="0" w:color="auto"/>
              <w:left w:val="nil"/>
              <w:right w:val="nil"/>
            </w:tcBorders>
          </w:tcPr>
          <w:p w14:paraId="507540CC" w14:textId="77777777" w:rsidR="00240494" w:rsidRPr="00A04F75" w:rsidRDefault="00240494" w:rsidP="004B1600">
            <w:pPr>
              <w:widowControl w:val="0"/>
              <w:autoSpaceDE w:val="0"/>
              <w:autoSpaceDN w:val="0"/>
              <w:adjustRightInd w:val="0"/>
              <w:rPr>
                <w:rFonts w:ascii="Times New Roman" w:hAnsi="Times New Roman" w:cs="Times New Roman"/>
                <w:szCs w:val="24"/>
              </w:rPr>
            </w:pPr>
          </w:p>
        </w:tc>
        <w:tc>
          <w:tcPr>
            <w:tcW w:w="6692" w:type="dxa"/>
            <w:gridSpan w:val="7"/>
            <w:tcBorders>
              <w:top w:val="single" w:sz="4" w:space="0" w:color="auto"/>
              <w:left w:val="nil"/>
              <w:right w:val="nil"/>
            </w:tcBorders>
          </w:tcPr>
          <w:p w14:paraId="3D43B970" w14:textId="77777777" w:rsidR="00240494" w:rsidRPr="00A04F75" w:rsidRDefault="00240494"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Annual change in health spending</w:t>
            </w:r>
            <w:r w:rsidR="00A50D41" w:rsidRPr="00A50D41">
              <w:rPr>
                <w:rFonts w:ascii="Times New Roman" w:hAnsi="Times New Roman" w:cs="Times New Roman"/>
                <w:szCs w:val="24"/>
                <w:vertAlign w:val="superscript"/>
              </w:rPr>
              <w:t>†</w:t>
            </w:r>
          </w:p>
        </w:tc>
      </w:tr>
      <w:tr w:rsidR="00240494" w:rsidRPr="002F3B34" w14:paraId="1701EF7C" w14:textId="77777777" w:rsidTr="00240494">
        <w:tc>
          <w:tcPr>
            <w:tcW w:w="6771" w:type="dxa"/>
            <w:tcBorders>
              <w:left w:val="nil"/>
              <w:bottom w:val="single" w:sz="4" w:space="0" w:color="auto"/>
              <w:right w:val="nil"/>
            </w:tcBorders>
          </w:tcPr>
          <w:p w14:paraId="78B869FC" w14:textId="77777777" w:rsidR="00240494" w:rsidRPr="002F3B34" w:rsidRDefault="00240494" w:rsidP="004B1600">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Covariates</w:t>
            </w:r>
          </w:p>
        </w:tc>
        <w:tc>
          <w:tcPr>
            <w:tcW w:w="956" w:type="dxa"/>
            <w:tcBorders>
              <w:left w:val="nil"/>
              <w:bottom w:val="single" w:sz="4" w:space="0" w:color="auto"/>
              <w:right w:val="nil"/>
            </w:tcBorders>
          </w:tcPr>
          <w:p w14:paraId="55C6D3D8"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(1)</w:t>
            </w:r>
          </w:p>
        </w:tc>
        <w:tc>
          <w:tcPr>
            <w:tcW w:w="956" w:type="dxa"/>
            <w:tcBorders>
              <w:left w:val="nil"/>
              <w:bottom w:val="single" w:sz="4" w:space="0" w:color="auto"/>
              <w:right w:val="nil"/>
            </w:tcBorders>
          </w:tcPr>
          <w:p w14:paraId="47B9E38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w:t>
            </w:r>
          </w:p>
        </w:tc>
        <w:tc>
          <w:tcPr>
            <w:tcW w:w="956" w:type="dxa"/>
            <w:tcBorders>
              <w:left w:val="nil"/>
              <w:bottom w:val="single" w:sz="4" w:space="0" w:color="auto"/>
              <w:right w:val="nil"/>
            </w:tcBorders>
          </w:tcPr>
          <w:p w14:paraId="4159A42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(3)</w:t>
            </w:r>
          </w:p>
        </w:tc>
        <w:tc>
          <w:tcPr>
            <w:tcW w:w="956" w:type="dxa"/>
            <w:tcBorders>
              <w:left w:val="nil"/>
              <w:bottom w:val="single" w:sz="4" w:space="0" w:color="auto"/>
              <w:right w:val="nil"/>
            </w:tcBorders>
          </w:tcPr>
          <w:p w14:paraId="26FA5EC8"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(4)</w:t>
            </w:r>
          </w:p>
        </w:tc>
        <w:tc>
          <w:tcPr>
            <w:tcW w:w="956" w:type="dxa"/>
            <w:tcBorders>
              <w:left w:val="nil"/>
              <w:bottom w:val="single" w:sz="4" w:space="0" w:color="auto"/>
              <w:right w:val="nil"/>
            </w:tcBorders>
          </w:tcPr>
          <w:p w14:paraId="6E12DB7F"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(5)</w:t>
            </w:r>
          </w:p>
        </w:tc>
        <w:tc>
          <w:tcPr>
            <w:tcW w:w="956" w:type="dxa"/>
            <w:tcBorders>
              <w:left w:val="nil"/>
              <w:bottom w:val="single" w:sz="4" w:space="0" w:color="auto"/>
              <w:right w:val="nil"/>
            </w:tcBorders>
          </w:tcPr>
          <w:p w14:paraId="647B83DB"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(6)</w:t>
            </w:r>
          </w:p>
        </w:tc>
        <w:tc>
          <w:tcPr>
            <w:tcW w:w="956" w:type="dxa"/>
            <w:tcBorders>
              <w:left w:val="nil"/>
              <w:bottom w:val="single" w:sz="4" w:space="0" w:color="auto"/>
              <w:right w:val="nil"/>
            </w:tcBorders>
          </w:tcPr>
          <w:p w14:paraId="717E57F9"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(7)</w:t>
            </w:r>
          </w:p>
        </w:tc>
      </w:tr>
      <w:tr w:rsidR="00240494" w:rsidRPr="002F3B34" w14:paraId="63814609" w14:textId="77777777" w:rsidTr="00240494">
        <w:tc>
          <w:tcPr>
            <w:tcW w:w="6771" w:type="dxa"/>
            <w:vMerge w:val="restart"/>
            <w:tcBorders>
              <w:top w:val="single" w:sz="4" w:space="0" w:color="auto"/>
              <w:left w:val="nil"/>
              <w:right w:val="nil"/>
            </w:tcBorders>
          </w:tcPr>
          <w:p w14:paraId="404D1D9F" w14:textId="77777777" w:rsidR="00240494" w:rsidRPr="002F3B34" w:rsidRDefault="00454A8E" w:rsidP="004B1600">
            <w:pPr>
              <w:widowControl w:val="0"/>
              <w:autoSpaceDE w:val="0"/>
              <w:autoSpaceDN w:val="0"/>
              <w:adjustRightInd w:val="0"/>
              <w:rPr>
                <w:rFonts w:ascii="Times New Roman" w:hAnsi="Times New Roman" w:cs="Times New Roman"/>
                <w:szCs w:val="24"/>
              </w:rPr>
            </w:pPr>
            <w:r>
              <w:rPr>
                <w:rFonts w:ascii="Times New Roman" w:hAnsi="Times New Roman" w:cs="Times New Roman"/>
                <w:szCs w:val="24"/>
              </w:rPr>
              <w:t>Annual c</w:t>
            </w:r>
            <w:r w:rsidR="000F05DE" w:rsidRPr="00A04F75">
              <w:rPr>
                <w:rFonts w:ascii="Times New Roman" w:hAnsi="Times New Roman" w:cs="Times New Roman"/>
                <w:szCs w:val="24"/>
              </w:rPr>
              <w:t>hange</w:t>
            </w:r>
            <w:r w:rsidR="00240494" w:rsidRPr="002F3B34">
              <w:rPr>
                <w:rFonts w:ascii="Times New Roman" w:hAnsi="Times New Roman" w:cs="Times New Roman"/>
                <w:szCs w:val="24"/>
              </w:rPr>
              <w:t xml:space="preserve"> in level of private healthcare spending as a proportion of current healthcare expenditure</w:t>
            </w:r>
            <w:r w:rsidRPr="00E26417">
              <w:rPr>
                <w:rFonts w:ascii="Times New Roman" w:hAnsi="Times New Roman" w:cs="Times New Roman"/>
                <w:szCs w:val="24"/>
                <w:vertAlign w:val="superscript"/>
              </w:rPr>
              <w:t>†</w:t>
            </w:r>
            <w:r w:rsidRPr="00A04F75">
              <w:rPr>
                <w:rFonts w:ascii="Times New Roman" w:hAnsi="Times New Roman" w:cs="Times New Roman"/>
                <w:szCs w:val="24"/>
              </w:rPr>
              <w:t xml:space="preserve"> </w:t>
            </w:r>
          </w:p>
        </w:tc>
        <w:tc>
          <w:tcPr>
            <w:tcW w:w="956" w:type="dxa"/>
            <w:tcBorders>
              <w:top w:val="single" w:sz="4" w:space="0" w:color="auto"/>
              <w:left w:val="nil"/>
              <w:right w:val="nil"/>
            </w:tcBorders>
          </w:tcPr>
          <w:p w14:paraId="697631BA"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-15.7</w:t>
            </w:r>
            <w:r w:rsidRPr="00A04F75">
              <w:rPr>
                <w:rFonts w:ascii="Times New Roman" w:hAnsi="Times New Roman" w:cs="Times New Roman"/>
                <w:szCs w:val="24"/>
                <w:vertAlign w:val="superscript"/>
              </w:rPr>
              <w:t>**</w:t>
            </w:r>
          </w:p>
        </w:tc>
        <w:tc>
          <w:tcPr>
            <w:tcW w:w="956" w:type="dxa"/>
            <w:tcBorders>
              <w:top w:val="single" w:sz="4" w:space="0" w:color="auto"/>
              <w:left w:val="nil"/>
              <w:right w:val="nil"/>
            </w:tcBorders>
          </w:tcPr>
          <w:p w14:paraId="765EAC05"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-16.0</w:t>
            </w:r>
            <w:r w:rsidRPr="00A04F75">
              <w:rPr>
                <w:rFonts w:ascii="Times New Roman" w:hAnsi="Times New Roman" w:cs="Times New Roman"/>
                <w:szCs w:val="24"/>
                <w:vertAlign w:val="superscript"/>
              </w:rPr>
              <w:t>**</w:t>
            </w:r>
          </w:p>
        </w:tc>
        <w:tc>
          <w:tcPr>
            <w:tcW w:w="956" w:type="dxa"/>
            <w:tcBorders>
              <w:top w:val="single" w:sz="4" w:space="0" w:color="auto"/>
              <w:left w:val="nil"/>
              <w:right w:val="nil"/>
            </w:tcBorders>
          </w:tcPr>
          <w:p w14:paraId="28FA3AE6"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-14.9</w:t>
            </w:r>
            <w:r w:rsidRPr="00A04F75">
              <w:rPr>
                <w:rFonts w:ascii="Times New Roman" w:hAnsi="Times New Roman" w:cs="Times New Roman"/>
                <w:szCs w:val="24"/>
                <w:vertAlign w:val="superscript"/>
              </w:rPr>
              <w:t>**</w:t>
            </w:r>
          </w:p>
        </w:tc>
        <w:tc>
          <w:tcPr>
            <w:tcW w:w="956" w:type="dxa"/>
            <w:tcBorders>
              <w:top w:val="single" w:sz="4" w:space="0" w:color="auto"/>
              <w:left w:val="nil"/>
              <w:right w:val="nil"/>
            </w:tcBorders>
          </w:tcPr>
          <w:p w14:paraId="22B23F6E"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-15.1</w:t>
            </w:r>
            <w:r w:rsidRPr="00A04F75">
              <w:rPr>
                <w:rFonts w:ascii="Times New Roman" w:hAnsi="Times New Roman" w:cs="Times New Roman"/>
                <w:szCs w:val="24"/>
                <w:vertAlign w:val="superscript"/>
              </w:rPr>
              <w:t>**</w:t>
            </w:r>
          </w:p>
        </w:tc>
        <w:tc>
          <w:tcPr>
            <w:tcW w:w="956" w:type="dxa"/>
            <w:tcBorders>
              <w:top w:val="single" w:sz="4" w:space="0" w:color="auto"/>
              <w:left w:val="nil"/>
              <w:right w:val="nil"/>
            </w:tcBorders>
          </w:tcPr>
          <w:p w14:paraId="2B382971"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-11.8</w:t>
            </w:r>
            <w:r w:rsidRPr="00A04F75">
              <w:rPr>
                <w:rFonts w:ascii="Times New Roman" w:hAnsi="Times New Roman" w:cs="Times New Roman"/>
                <w:szCs w:val="24"/>
                <w:vertAlign w:val="superscript"/>
              </w:rPr>
              <w:t>**</w:t>
            </w:r>
          </w:p>
        </w:tc>
        <w:tc>
          <w:tcPr>
            <w:tcW w:w="956" w:type="dxa"/>
            <w:tcBorders>
              <w:top w:val="single" w:sz="4" w:space="0" w:color="auto"/>
              <w:left w:val="nil"/>
              <w:right w:val="nil"/>
            </w:tcBorders>
          </w:tcPr>
          <w:p w14:paraId="249A9CA9"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-11.3</w:t>
            </w:r>
            <w:r w:rsidRPr="00A04F75">
              <w:rPr>
                <w:rFonts w:ascii="Times New Roman" w:hAnsi="Times New Roman" w:cs="Times New Roman"/>
                <w:szCs w:val="24"/>
                <w:vertAlign w:val="superscript"/>
              </w:rPr>
              <w:t>**</w:t>
            </w:r>
          </w:p>
        </w:tc>
        <w:tc>
          <w:tcPr>
            <w:tcW w:w="956" w:type="dxa"/>
            <w:tcBorders>
              <w:top w:val="single" w:sz="4" w:space="0" w:color="auto"/>
              <w:left w:val="nil"/>
              <w:right w:val="nil"/>
            </w:tcBorders>
          </w:tcPr>
          <w:p w14:paraId="5A78B33E"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-12.2</w:t>
            </w:r>
            <w:r w:rsidRPr="00A04F75">
              <w:rPr>
                <w:rFonts w:ascii="Times New Roman" w:hAnsi="Times New Roman" w:cs="Times New Roman"/>
                <w:szCs w:val="24"/>
                <w:vertAlign w:val="superscript"/>
              </w:rPr>
              <w:t>**</w:t>
            </w:r>
          </w:p>
        </w:tc>
      </w:tr>
      <w:tr w:rsidR="00240494" w:rsidRPr="002F3B34" w14:paraId="666BD27C" w14:textId="77777777" w:rsidTr="00240494">
        <w:tc>
          <w:tcPr>
            <w:tcW w:w="6771" w:type="dxa"/>
            <w:vMerge/>
            <w:tcBorders>
              <w:left w:val="nil"/>
              <w:right w:val="nil"/>
            </w:tcBorders>
          </w:tcPr>
          <w:p w14:paraId="7168B26A"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left w:val="nil"/>
              <w:right w:val="nil"/>
            </w:tcBorders>
          </w:tcPr>
          <w:p w14:paraId="589182F8"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(3.13)</w:t>
            </w:r>
          </w:p>
        </w:tc>
        <w:tc>
          <w:tcPr>
            <w:tcW w:w="956" w:type="dxa"/>
            <w:tcBorders>
              <w:left w:val="nil"/>
              <w:right w:val="nil"/>
            </w:tcBorders>
          </w:tcPr>
          <w:p w14:paraId="615A44AD"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(3.27)</w:t>
            </w:r>
          </w:p>
        </w:tc>
        <w:tc>
          <w:tcPr>
            <w:tcW w:w="956" w:type="dxa"/>
            <w:tcBorders>
              <w:left w:val="nil"/>
              <w:right w:val="nil"/>
            </w:tcBorders>
          </w:tcPr>
          <w:p w14:paraId="5F097FDB"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(2.92)</w:t>
            </w:r>
          </w:p>
        </w:tc>
        <w:tc>
          <w:tcPr>
            <w:tcW w:w="956" w:type="dxa"/>
            <w:tcBorders>
              <w:left w:val="nil"/>
              <w:right w:val="nil"/>
            </w:tcBorders>
          </w:tcPr>
          <w:p w14:paraId="0A7ADAB0"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(2.87)</w:t>
            </w:r>
          </w:p>
        </w:tc>
        <w:tc>
          <w:tcPr>
            <w:tcW w:w="956" w:type="dxa"/>
            <w:tcBorders>
              <w:left w:val="nil"/>
              <w:right w:val="nil"/>
            </w:tcBorders>
          </w:tcPr>
          <w:p w14:paraId="26245B85"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(2.56)</w:t>
            </w:r>
          </w:p>
        </w:tc>
        <w:tc>
          <w:tcPr>
            <w:tcW w:w="956" w:type="dxa"/>
            <w:tcBorders>
              <w:left w:val="nil"/>
              <w:right w:val="nil"/>
            </w:tcBorders>
          </w:tcPr>
          <w:p w14:paraId="5BD7BF07"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(2.61)</w:t>
            </w:r>
          </w:p>
        </w:tc>
        <w:tc>
          <w:tcPr>
            <w:tcW w:w="956" w:type="dxa"/>
            <w:tcBorders>
              <w:left w:val="nil"/>
              <w:right w:val="nil"/>
            </w:tcBorders>
          </w:tcPr>
          <w:p w14:paraId="7EC854D8" w14:textId="77777777" w:rsidR="00240494" w:rsidRPr="002F3B34" w:rsidRDefault="000F05DE"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(4.13)</w:t>
            </w:r>
          </w:p>
        </w:tc>
      </w:tr>
      <w:tr w:rsidR="00240494" w:rsidRPr="002F3B34" w14:paraId="20AE81C6" w14:textId="77777777" w:rsidTr="00240494">
        <w:tc>
          <w:tcPr>
            <w:tcW w:w="6771" w:type="dxa"/>
            <w:tcBorders>
              <w:left w:val="nil"/>
              <w:right w:val="nil"/>
            </w:tcBorders>
          </w:tcPr>
          <w:p w14:paraId="5176CE2A"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left w:val="nil"/>
              <w:right w:val="nil"/>
            </w:tcBorders>
          </w:tcPr>
          <w:p w14:paraId="55D00968"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left w:val="nil"/>
              <w:right w:val="nil"/>
            </w:tcBorders>
          </w:tcPr>
          <w:p w14:paraId="2905C70E"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left w:val="nil"/>
              <w:right w:val="nil"/>
            </w:tcBorders>
          </w:tcPr>
          <w:p w14:paraId="5DB2299E"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left w:val="nil"/>
              <w:right w:val="nil"/>
            </w:tcBorders>
          </w:tcPr>
          <w:p w14:paraId="16F381D2"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left w:val="nil"/>
              <w:right w:val="nil"/>
            </w:tcBorders>
          </w:tcPr>
          <w:p w14:paraId="16C80C97"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left w:val="nil"/>
              <w:right w:val="nil"/>
            </w:tcBorders>
          </w:tcPr>
          <w:p w14:paraId="1397B248"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left w:val="nil"/>
              <w:right w:val="nil"/>
            </w:tcBorders>
          </w:tcPr>
          <w:p w14:paraId="3D9F3B30"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r>
      <w:tr w:rsidR="00240494" w:rsidRPr="002F3B34" w14:paraId="7C82C416" w14:textId="77777777" w:rsidTr="00240494">
        <w:tc>
          <w:tcPr>
            <w:tcW w:w="6771" w:type="dxa"/>
            <w:vMerge w:val="restart"/>
            <w:tcBorders>
              <w:left w:val="nil"/>
              <w:right w:val="nil"/>
            </w:tcBorders>
          </w:tcPr>
          <w:p w14:paraId="61B53A88" w14:textId="77777777" w:rsidR="00240494" w:rsidRPr="002F3B34" w:rsidRDefault="00D41F59" w:rsidP="004B1600">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$10 annual increase in GDP</w:t>
            </w:r>
            <w:r w:rsidR="00454A8E" w:rsidRPr="00454A8E">
              <w:rPr>
                <w:rFonts w:ascii="Times New Roman" w:hAnsi="Times New Roman" w:cs="Times New Roman"/>
                <w:bCs/>
                <w:szCs w:val="24"/>
                <w:vertAlign w:val="superscript"/>
              </w:rPr>
              <w:t>†</w:t>
            </w:r>
          </w:p>
        </w:tc>
        <w:tc>
          <w:tcPr>
            <w:tcW w:w="956" w:type="dxa"/>
            <w:tcBorders>
              <w:left w:val="nil"/>
              <w:bottom w:val="nil"/>
              <w:right w:val="nil"/>
            </w:tcBorders>
          </w:tcPr>
          <w:p w14:paraId="009356B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left w:val="nil"/>
              <w:bottom w:val="nil"/>
              <w:right w:val="nil"/>
            </w:tcBorders>
          </w:tcPr>
          <w:p w14:paraId="2F716B44"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0.23</w:t>
            </w:r>
          </w:p>
        </w:tc>
        <w:tc>
          <w:tcPr>
            <w:tcW w:w="956" w:type="dxa"/>
            <w:tcBorders>
              <w:left w:val="nil"/>
              <w:bottom w:val="nil"/>
              <w:right w:val="nil"/>
            </w:tcBorders>
          </w:tcPr>
          <w:p w14:paraId="2D2CD491"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0.19</w:t>
            </w:r>
          </w:p>
        </w:tc>
        <w:tc>
          <w:tcPr>
            <w:tcW w:w="956" w:type="dxa"/>
            <w:tcBorders>
              <w:left w:val="nil"/>
              <w:bottom w:val="nil"/>
              <w:right w:val="nil"/>
            </w:tcBorders>
          </w:tcPr>
          <w:p w14:paraId="2BE37AE2"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0.17</w:t>
            </w:r>
          </w:p>
        </w:tc>
        <w:tc>
          <w:tcPr>
            <w:tcW w:w="956" w:type="dxa"/>
            <w:tcBorders>
              <w:left w:val="nil"/>
              <w:bottom w:val="nil"/>
              <w:right w:val="nil"/>
            </w:tcBorders>
          </w:tcPr>
          <w:p w14:paraId="50EDF4C6"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0.095</w:t>
            </w:r>
          </w:p>
        </w:tc>
        <w:tc>
          <w:tcPr>
            <w:tcW w:w="956" w:type="dxa"/>
            <w:tcBorders>
              <w:left w:val="nil"/>
              <w:bottom w:val="nil"/>
              <w:right w:val="nil"/>
            </w:tcBorders>
          </w:tcPr>
          <w:p w14:paraId="53D428C2"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0.090</w:t>
            </w:r>
          </w:p>
        </w:tc>
        <w:tc>
          <w:tcPr>
            <w:tcW w:w="956" w:type="dxa"/>
            <w:tcBorders>
              <w:left w:val="nil"/>
              <w:bottom w:val="nil"/>
              <w:right w:val="nil"/>
            </w:tcBorders>
          </w:tcPr>
          <w:p w14:paraId="0D2C6DF3"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0.055</w:t>
            </w:r>
          </w:p>
        </w:tc>
      </w:tr>
      <w:tr w:rsidR="00240494" w:rsidRPr="002F3B34" w14:paraId="69535589" w14:textId="77777777" w:rsidTr="00240494">
        <w:tc>
          <w:tcPr>
            <w:tcW w:w="6771" w:type="dxa"/>
            <w:vMerge/>
            <w:tcBorders>
              <w:left w:val="nil"/>
              <w:right w:val="nil"/>
            </w:tcBorders>
          </w:tcPr>
          <w:p w14:paraId="3FA984C4"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55727F2"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5BA45976"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(0.12)</w:t>
            </w:r>
          </w:p>
        </w:tc>
        <w:tc>
          <w:tcPr>
            <w:tcW w:w="956" w:type="dxa"/>
            <w:tcBorders>
              <w:top w:val="nil"/>
              <w:left w:val="nil"/>
              <w:bottom w:val="nil"/>
              <w:right w:val="nil"/>
            </w:tcBorders>
          </w:tcPr>
          <w:p w14:paraId="4B08E8F2"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956" w:type="dxa"/>
            <w:tcBorders>
              <w:top w:val="nil"/>
              <w:left w:val="nil"/>
              <w:bottom w:val="nil"/>
              <w:right w:val="nil"/>
            </w:tcBorders>
          </w:tcPr>
          <w:p w14:paraId="2FDD6707"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956" w:type="dxa"/>
            <w:tcBorders>
              <w:top w:val="nil"/>
              <w:left w:val="nil"/>
              <w:bottom w:val="nil"/>
              <w:right w:val="nil"/>
            </w:tcBorders>
          </w:tcPr>
          <w:p w14:paraId="5BC64C96"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(0.093)</w:t>
            </w:r>
          </w:p>
        </w:tc>
        <w:tc>
          <w:tcPr>
            <w:tcW w:w="956" w:type="dxa"/>
            <w:tcBorders>
              <w:top w:val="nil"/>
              <w:left w:val="nil"/>
              <w:bottom w:val="nil"/>
              <w:right w:val="nil"/>
            </w:tcBorders>
          </w:tcPr>
          <w:p w14:paraId="6174F68C"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(0.091)</w:t>
            </w:r>
          </w:p>
        </w:tc>
        <w:tc>
          <w:tcPr>
            <w:tcW w:w="956" w:type="dxa"/>
            <w:tcBorders>
              <w:top w:val="nil"/>
              <w:left w:val="nil"/>
              <w:bottom w:val="nil"/>
              <w:right w:val="nil"/>
            </w:tcBorders>
          </w:tcPr>
          <w:p w14:paraId="5F2353D1"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(0.098)</w:t>
            </w:r>
          </w:p>
        </w:tc>
      </w:tr>
      <w:tr w:rsidR="00240494" w:rsidRPr="002F3B34" w14:paraId="0922ABF9" w14:textId="77777777" w:rsidTr="00240494">
        <w:tc>
          <w:tcPr>
            <w:tcW w:w="6771" w:type="dxa"/>
            <w:vMerge/>
            <w:tcBorders>
              <w:left w:val="nil"/>
              <w:bottom w:val="nil"/>
              <w:right w:val="nil"/>
            </w:tcBorders>
          </w:tcPr>
          <w:p w14:paraId="3D055617"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10C48AB9"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5F0A90EE"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3366DD5E"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0C473000"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2209231A"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539471A3"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00D86837"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r>
      <w:tr w:rsidR="00240494" w:rsidRPr="002F3B34" w14:paraId="461EA379" w14:textId="77777777" w:rsidTr="00240494">
        <w:tc>
          <w:tcPr>
            <w:tcW w:w="6771" w:type="dxa"/>
            <w:vMerge w:val="restart"/>
            <w:tcBorders>
              <w:top w:val="nil"/>
              <w:left w:val="nil"/>
              <w:right w:val="nil"/>
            </w:tcBorders>
          </w:tcPr>
          <w:p w14:paraId="122C2675" w14:textId="77777777" w:rsidR="00240494" w:rsidRPr="002F3B34" w:rsidRDefault="00D41F59" w:rsidP="004B1600">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$100 </w:t>
            </w:r>
            <w:r>
              <w:rPr>
                <w:rFonts w:ascii="Times New Roman" w:hAnsi="Times New Roman" w:cs="Times New Roman"/>
                <w:szCs w:val="24"/>
              </w:rPr>
              <w:t xml:space="preserve">annual </w:t>
            </w:r>
            <w:r w:rsidRPr="00A04F75">
              <w:rPr>
                <w:rFonts w:ascii="Times New Roman" w:hAnsi="Times New Roman" w:cs="Times New Roman"/>
                <w:szCs w:val="24"/>
              </w:rPr>
              <w:t>increa</w:t>
            </w:r>
            <w:r>
              <w:rPr>
                <w:rFonts w:ascii="Times New Roman" w:hAnsi="Times New Roman" w:cs="Times New Roman"/>
                <w:szCs w:val="24"/>
              </w:rPr>
              <w:t>se in t</w:t>
            </w:r>
            <w:r w:rsidRPr="00A04F75">
              <w:rPr>
                <w:rFonts w:ascii="Times New Roman" w:hAnsi="Times New Roman" w:cs="Times New Roman"/>
                <w:szCs w:val="24"/>
              </w:rPr>
              <w:t>ax revenue</w:t>
            </w:r>
            <w:r w:rsidRPr="00E26417">
              <w:rPr>
                <w:rFonts w:ascii="Times New Roman" w:hAnsi="Times New Roman" w:cs="Times New Roman"/>
                <w:szCs w:val="24"/>
                <w:vertAlign w:val="superscript"/>
              </w:rPr>
              <w:t>†</w:t>
            </w:r>
          </w:p>
        </w:tc>
        <w:tc>
          <w:tcPr>
            <w:tcW w:w="956" w:type="dxa"/>
            <w:tcBorders>
              <w:top w:val="nil"/>
              <w:left w:val="nil"/>
              <w:bottom w:val="nil"/>
              <w:right w:val="nil"/>
            </w:tcBorders>
          </w:tcPr>
          <w:p w14:paraId="42CC21EB"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C3E1A8A"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658CD9FA"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3.02</w:t>
            </w:r>
            <w:r w:rsidRPr="00A04F75">
              <w:rPr>
                <w:rFonts w:ascii="Times New Roman" w:hAnsi="Times New Roman" w:cs="Times New Roman"/>
                <w:szCs w:val="24"/>
                <w:vertAlign w:val="superscript"/>
              </w:rPr>
              <w:t>**</w:t>
            </w:r>
          </w:p>
        </w:tc>
        <w:tc>
          <w:tcPr>
            <w:tcW w:w="956" w:type="dxa"/>
            <w:tcBorders>
              <w:top w:val="nil"/>
              <w:left w:val="nil"/>
              <w:bottom w:val="nil"/>
              <w:right w:val="nil"/>
            </w:tcBorders>
          </w:tcPr>
          <w:p w14:paraId="67932E59"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2.89</w:t>
            </w:r>
            <w:r w:rsidRPr="00A04F75">
              <w:rPr>
                <w:rFonts w:ascii="Times New Roman" w:hAnsi="Times New Roman" w:cs="Times New Roman"/>
                <w:szCs w:val="24"/>
                <w:vertAlign w:val="superscript"/>
              </w:rPr>
              <w:t>**</w:t>
            </w:r>
          </w:p>
        </w:tc>
        <w:tc>
          <w:tcPr>
            <w:tcW w:w="956" w:type="dxa"/>
            <w:tcBorders>
              <w:top w:val="nil"/>
              <w:left w:val="nil"/>
              <w:bottom w:val="nil"/>
              <w:right w:val="nil"/>
            </w:tcBorders>
          </w:tcPr>
          <w:p w14:paraId="14660711"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2.52</w:t>
            </w:r>
            <w:r w:rsidRPr="00A04F75">
              <w:rPr>
                <w:rFonts w:ascii="Times New Roman" w:hAnsi="Times New Roman" w:cs="Times New Roman"/>
                <w:szCs w:val="24"/>
                <w:vertAlign w:val="superscript"/>
              </w:rPr>
              <w:t>**</w:t>
            </w:r>
          </w:p>
        </w:tc>
        <w:tc>
          <w:tcPr>
            <w:tcW w:w="956" w:type="dxa"/>
            <w:tcBorders>
              <w:top w:val="nil"/>
              <w:left w:val="nil"/>
              <w:bottom w:val="nil"/>
              <w:right w:val="nil"/>
            </w:tcBorders>
          </w:tcPr>
          <w:p w14:paraId="2929DEE2"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2.37</w:t>
            </w:r>
            <w:r w:rsidRPr="00A04F75">
              <w:rPr>
                <w:rFonts w:ascii="Times New Roman" w:hAnsi="Times New Roman" w:cs="Times New Roman"/>
                <w:szCs w:val="24"/>
                <w:vertAlign w:val="superscript"/>
              </w:rPr>
              <w:t>**</w:t>
            </w:r>
          </w:p>
        </w:tc>
        <w:tc>
          <w:tcPr>
            <w:tcW w:w="956" w:type="dxa"/>
            <w:tcBorders>
              <w:top w:val="nil"/>
              <w:left w:val="nil"/>
              <w:bottom w:val="nil"/>
              <w:right w:val="nil"/>
            </w:tcBorders>
          </w:tcPr>
          <w:p w14:paraId="4658576C"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2.02</w:t>
            </w:r>
            <w:r w:rsidRPr="00A04F75">
              <w:rPr>
                <w:rFonts w:ascii="Times New Roman" w:hAnsi="Times New Roman" w:cs="Times New Roman"/>
                <w:szCs w:val="24"/>
                <w:vertAlign w:val="superscript"/>
              </w:rPr>
              <w:t>**</w:t>
            </w:r>
          </w:p>
        </w:tc>
      </w:tr>
      <w:tr w:rsidR="00240494" w:rsidRPr="002F3B34" w14:paraId="53B25626" w14:textId="77777777" w:rsidTr="00240494">
        <w:tc>
          <w:tcPr>
            <w:tcW w:w="6771" w:type="dxa"/>
            <w:vMerge/>
            <w:tcBorders>
              <w:left w:val="nil"/>
              <w:bottom w:val="nil"/>
              <w:right w:val="nil"/>
            </w:tcBorders>
          </w:tcPr>
          <w:p w14:paraId="20723F9C"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59FF17AA"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A3BC65A"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52352C42"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(1.01)</w:t>
            </w:r>
          </w:p>
        </w:tc>
        <w:tc>
          <w:tcPr>
            <w:tcW w:w="956" w:type="dxa"/>
            <w:tcBorders>
              <w:top w:val="nil"/>
              <w:left w:val="nil"/>
              <w:bottom w:val="nil"/>
              <w:right w:val="nil"/>
            </w:tcBorders>
          </w:tcPr>
          <w:p w14:paraId="5CEFB757"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(0.92)</w:t>
            </w:r>
          </w:p>
        </w:tc>
        <w:tc>
          <w:tcPr>
            <w:tcW w:w="956" w:type="dxa"/>
            <w:tcBorders>
              <w:top w:val="nil"/>
              <w:left w:val="nil"/>
              <w:bottom w:val="nil"/>
              <w:right w:val="nil"/>
            </w:tcBorders>
          </w:tcPr>
          <w:p w14:paraId="73597CDD"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(0.68)</w:t>
            </w:r>
          </w:p>
        </w:tc>
        <w:tc>
          <w:tcPr>
            <w:tcW w:w="956" w:type="dxa"/>
            <w:tcBorders>
              <w:top w:val="nil"/>
              <w:left w:val="nil"/>
              <w:bottom w:val="nil"/>
              <w:right w:val="nil"/>
            </w:tcBorders>
          </w:tcPr>
          <w:p w14:paraId="4B181894"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(0.69)</w:t>
            </w:r>
          </w:p>
        </w:tc>
        <w:tc>
          <w:tcPr>
            <w:tcW w:w="956" w:type="dxa"/>
            <w:tcBorders>
              <w:top w:val="nil"/>
              <w:left w:val="nil"/>
              <w:bottom w:val="nil"/>
              <w:right w:val="nil"/>
            </w:tcBorders>
          </w:tcPr>
          <w:p w14:paraId="7673CDFD"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(0.62)</w:t>
            </w:r>
          </w:p>
        </w:tc>
      </w:tr>
      <w:tr w:rsidR="00240494" w:rsidRPr="002F3B34" w14:paraId="72B75FB2" w14:textId="77777777" w:rsidTr="00240494">
        <w:tc>
          <w:tcPr>
            <w:tcW w:w="6771" w:type="dxa"/>
            <w:tcBorders>
              <w:top w:val="nil"/>
              <w:left w:val="nil"/>
              <w:bottom w:val="nil"/>
              <w:right w:val="nil"/>
            </w:tcBorders>
          </w:tcPr>
          <w:p w14:paraId="7B9FD7BA"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3E23F84D"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04F97406"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70E4B9AE"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11B44E8F"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4D3691A6"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417E7501"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2B5B9031"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r>
      <w:tr w:rsidR="00240494" w:rsidRPr="002F3B34" w14:paraId="49F19B78" w14:textId="77777777" w:rsidTr="00240494">
        <w:tc>
          <w:tcPr>
            <w:tcW w:w="6771" w:type="dxa"/>
            <w:tcBorders>
              <w:top w:val="nil"/>
              <w:left w:val="nil"/>
              <w:bottom w:val="nil"/>
              <w:right w:val="nil"/>
            </w:tcBorders>
          </w:tcPr>
          <w:p w14:paraId="7FDF1CD5" w14:textId="77777777" w:rsidR="00240494" w:rsidRPr="002F3B34" w:rsidRDefault="00D41F59" w:rsidP="004B1600">
            <w:pPr>
              <w:widowControl w:val="0"/>
              <w:autoSpaceDE w:val="0"/>
              <w:autoSpaceDN w:val="0"/>
              <w:adjustRightInd w:val="0"/>
              <w:rPr>
                <w:rFonts w:ascii="Times New Roman" w:hAnsi="Times New Roman" w:cs="Times New Roman"/>
                <w:szCs w:val="24"/>
              </w:rPr>
            </w:pPr>
            <w:r>
              <w:rPr>
                <w:rFonts w:ascii="Times New Roman" w:hAnsi="Times New Roman" w:cs="Times New Roman"/>
                <w:szCs w:val="24"/>
              </w:rPr>
              <w:t>Public debt as percentage of GDP in the previous year</w:t>
            </w:r>
          </w:p>
        </w:tc>
        <w:tc>
          <w:tcPr>
            <w:tcW w:w="956" w:type="dxa"/>
            <w:tcBorders>
              <w:top w:val="nil"/>
              <w:left w:val="nil"/>
              <w:bottom w:val="nil"/>
              <w:right w:val="nil"/>
            </w:tcBorders>
          </w:tcPr>
          <w:p w14:paraId="2D620A3F"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52FD7E6"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377A5132"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6A89BF4E"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-0.32</w:t>
            </w:r>
          </w:p>
        </w:tc>
        <w:tc>
          <w:tcPr>
            <w:tcW w:w="956" w:type="dxa"/>
            <w:tcBorders>
              <w:top w:val="nil"/>
              <w:left w:val="nil"/>
              <w:bottom w:val="nil"/>
              <w:right w:val="nil"/>
            </w:tcBorders>
          </w:tcPr>
          <w:p w14:paraId="417D12DD"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-0.23</w:t>
            </w:r>
          </w:p>
        </w:tc>
        <w:tc>
          <w:tcPr>
            <w:tcW w:w="956" w:type="dxa"/>
            <w:tcBorders>
              <w:top w:val="nil"/>
              <w:left w:val="nil"/>
              <w:bottom w:val="nil"/>
              <w:right w:val="nil"/>
            </w:tcBorders>
          </w:tcPr>
          <w:p w14:paraId="764987F7"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-0.23</w:t>
            </w:r>
          </w:p>
        </w:tc>
        <w:tc>
          <w:tcPr>
            <w:tcW w:w="956" w:type="dxa"/>
            <w:tcBorders>
              <w:top w:val="nil"/>
              <w:left w:val="nil"/>
              <w:bottom w:val="nil"/>
              <w:right w:val="nil"/>
            </w:tcBorders>
          </w:tcPr>
          <w:p w14:paraId="7DF20D35"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-0.22</w:t>
            </w:r>
          </w:p>
        </w:tc>
      </w:tr>
      <w:tr w:rsidR="00240494" w:rsidRPr="002F3B34" w14:paraId="12C02E86" w14:textId="77777777" w:rsidTr="00240494">
        <w:tc>
          <w:tcPr>
            <w:tcW w:w="6771" w:type="dxa"/>
            <w:tcBorders>
              <w:top w:val="nil"/>
              <w:left w:val="nil"/>
              <w:bottom w:val="nil"/>
              <w:right w:val="nil"/>
            </w:tcBorders>
          </w:tcPr>
          <w:p w14:paraId="54E6361D"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1EB6E97A"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6A27B938"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10F999A0"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52874167"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(0.21)</w:t>
            </w:r>
          </w:p>
        </w:tc>
        <w:tc>
          <w:tcPr>
            <w:tcW w:w="956" w:type="dxa"/>
            <w:tcBorders>
              <w:top w:val="nil"/>
              <w:left w:val="nil"/>
              <w:bottom w:val="nil"/>
              <w:right w:val="nil"/>
            </w:tcBorders>
          </w:tcPr>
          <w:p w14:paraId="29E4E1B0"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(0.19)</w:t>
            </w:r>
          </w:p>
        </w:tc>
        <w:tc>
          <w:tcPr>
            <w:tcW w:w="956" w:type="dxa"/>
            <w:tcBorders>
              <w:top w:val="nil"/>
              <w:left w:val="nil"/>
              <w:bottom w:val="nil"/>
              <w:right w:val="nil"/>
            </w:tcBorders>
          </w:tcPr>
          <w:p w14:paraId="4CB2EB89"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(0.17)</w:t>
            </w:r>
          </w:p>
        </w:tc>
        <w:tc>
          <w:tcPr>
            <w:tcW w:w="956" w:type="dxa"/>
            <w:tcBorders>
              <w:top w:val="nil"/>
              <w:left w:val="nil"/>
              <w:bottom w:val="nil"/>
              <w:right w:val="nil"/>
            </w:tcBorders>
          </w:tcPr>
          <w:p w14:paraId="0702D55E"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(0.18)</w:t>
            </w:r>
          </w:p>
        </w:tc>
      </w:tr>
      <w:tr w:rsidR="00240494" w:rsidRPr="002F3B34" w14:paraId="1FDC6DAE" w14:textId="77777777" w:rsidTr="00240494">
        <w:tc>
          <w:tcPr>
            <w:tcW w:w="6771" w:type="dxa"/>
            <w:tcBorders>
              <w:top w:val="nil"/>
              <w:left w:val="nil"/>
              <w:bottom w:val="nil"/>
              <w:right w:val="nil"/>
            </w:tcBorders>
          </w:tcPr>
          <w:p w14:paraId="71C58712"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41DBA6D0"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229B5B59"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3D0C1A62"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145CEC29"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4BDC8A1B"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6AB03E6"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49C18371"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r>
      <w:tr w:rsidR="00240494" w:rsidRPr="002F3B34" w14:paraId="296F7E7B" w14:textId="77777777" w:rsidTr="00240494">
        <w:tc>
          <w:tcPr>
            <w:tcW w:w="6771" w:type="dxa"/>
            <w:tcBorders>
              <w:top w:val="nil"/>
              <w:left w:val="nil"/>
              <w:bottom w:val="nil"/>
              <w:right w:val="nil"/>
            </w:tcBorders>
          </w:tcPr>
          <w:p w14:paraId="666867B4" w14:textId="77777777" w:rsidR="00240494" w:rsidRPr="002F3B34" w:rsidRDefault="00D41F59" w:rsidP="004B1600">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Implemented austerity in </w:t>
            </w:r>
            <w:r>
              <w:rPr>
                <w:rFonts w:ascii="Times New Roman" w:hAnsi="Times New Roman" w:cs="Times New Roman"/>
                <w:szCs w:val="24"/>
              </w:rPr>
              <w:t>current year</w:t>
            </w:r>
          </w:p>
        </w:tc>
        <w:tc>
          <w:tcPr>
            <w:tcW w:w="956" w:type="dxa"/>
            <w:tcBorders>
              <w:top w:val="nil"/>
              <w:left w:val="nil"/>
              <w:bottom w:val="nil"/>
              <w:right w:val="nil"/>
            </w:tcBorders>
          </w:tcPr>
          <w:p w14:paraId="4E5F46C5"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382AE05D"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5FEE1FBB"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4D4441DE"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4E9FC1EE"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-65.6</w:t>
            </w:r>
            <w:r w:rsidRPr="00A04F75">
              <w:rPr>
                <w:rFonts w:ascii="Times New Roman" w:hAnsi="Times New Roman" w:cs="Times New Roman"/>
                <w:szCs w:val="24"/>
                <w:vertAlign w:val="superscript"/>
              </w:rPr>
              <w:t>**</w:t>
            </w:r>
          </w:p>
        </w:tc>
        <w:tc>
          <w:tcPr>
            <w:tcW w:w="956" w:type="dxa"/>
            <w:tcBorders>
              <w:top w:val="nil"/>
              <w:left w:val="nil"/>
              <w:bottom w:val="nil"/>
              <w:right w:val="nil"/>
            </w:tcBorders>
          </w:tcPr>
          <w:p w14:paraId="61DFB0F5"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-63.1</w:t>
            </w:r>
            <w:r w:rsidRPr="00A04F75">
              <w:rPr>
                <w:rFonts w:ascii="Times New Roman" w:hAnsi="Times New Roman" w:cs="Times New Roman"/>
                <w:szCs w:val="24"/>
                <w:vertAlign w:val="superscript"/>
              </w:rPr>
              <w:t>**</w:t>
            </w:r>
          </w:p>
        </w:tc>
        <w:tc>
          <w:tcPr>
            <w:tcW w:w="956" w:type="dxa"/>
            <w:tcBorders>
              <w:top w:val="nil"/>
              <w:left w:val="nil"/>
              <w:bottom w:val="nil"/>
              <w:right w:val="nil"/>
            </w:tcBorders>
          </w:tcPr>
          <w:p w14:paraId="5D949D9D"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-66.3</w:t>
            </w:r>
            <w:r w:rsidRPr="00A04F75">
              <w:rPr>
                <w:rFonts w:ascii="Times New Roman" w:hAnsi="Times New Roman" w:cs="Times New Roman"/>
                <w:szCs w:val="24"/>
                <w:vertAlign w:val="superscript"/>
              </w:rPr>
              <w:t>**</w:t>
            </w:r>
          </w:p>
        </w:tc>
      </w:tr>
      <w:tr w:rsidR="00240494" w:rsidRPr="002F3B34" w14:paraId="3925C811" w14:textId="77777777" w:rsidTr="00240494">
        <w:tc>
          <w:tcPr>
            <w:tcW w:w="6771" w:type="dxa"/>
            <w:tcBorders>
              <w:top w:val="nil"/>
              <w:left w:val="nil"/>
              <w:bottom w:val="nil"/>
              <w:right w:val="nil"/>
            </w:tcBorders>
          </w:tcPr>
          <w:p w14:paraId="3554047C"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733CCDAE"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7EAB74BB"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12AA3920"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75E3899"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64AE135B"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(12.4)</w:t>
            </w:r>
          </w:p>
        </w:tc>
        <w:tc>
          <w:tcPr>
            <w:tcW w:w="956" w:type="dxa"/>
            <w:tcBorders>
              <w:top w:val="nil"/>
              <w:left w:val="nil"/>
              <w:bottom w:val="nil"/>
              <w:right w:val="nil"/>
            </w:tcBorders>
          </w:tcPr>
          <w:p w14:paraId="052978BB"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(12.5)</w:t>
            </w:r>
          </w:p>
        </w:tc>
        <w:tc>
          <w:tcPr>
            <w:tcW w:w="956" w:type="dxa"/>
            <w:tcBorders>
              <w:top w:val="nil"/>
              <w:left w:val="nil"/>
              <w:bottom w:val="nil"/>
              <w:right w:val="nil"/>
            </w:tcBorders>
          </w:tcPr>
          <w:p w14:paraId="23095C47" w14:textId="77777777" w:rsidR="00240494" w:rsidRPr="002F3B34" w:rsidRDefault="00D41F59"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(13.4)</w:t>
            </w:r>
          </w:p>
        </w:tc>
      </w:tr>
      <w:tr w:rsidR="00240494" w:rsidRPr="002F3B34" w14:paraId="283E83F3" w14:textId="77777777" w:rsidTr="00240494">
        <w:tc>
          <w:tcPr>
            <w:tcW w:w="6771" w:type="dxa"/>
            <w:tcBorders>
              <w:top w:val="nil"/>
              <w:left w:val="nil"/>
              <w:bottom w:val="nil"/>
              <w:right w:val="nil"/>
            </w:tcBorders>
          </w:tcPr>
          <w:p w14:paraId="7978F775"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30BA480E"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756B00FF"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25123485"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46758BC9"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26808413"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2B578F84"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592980C9"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r>
      <w:tr w:rsidR="00240494" w:rsidRPr="002F3B34" w14:paraId="3F062B25" w14:textId="77777777" w:rsidTr="00240494">
        <w:tc>
          <w:tcPr>
            <w:tcW w:w="6771" w:type="dxa"/>
            <w:tcBorders>
              <w:top w:val="nil"/>
              <w:left w:val="nil"/>
              <w:bottom w:val="nil"/>
              <w:right w:val="nil"/>
            </w:tcBorders>
          </w:tcPr>
          <w:p w14:paraId="0158CE75" w14:textId="77777777" w:rsidR="00240494" w:rsidRPr="002F3B34" w:rsidRDefault="00240494" w:rsidP="004B1600">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 xml:space="preserve">IMF bailout active in </w:t>
            </w:r>
            <w:r w:rsidR="00D41F59">
              <w:rPr>
                <w:rFonts w:ascii="Times New Roman" w:hAnsi="Times New Roman" w:cs="Times New Roman"/>
                <w:szCs w:val="24"/>
              </w:rPr>
              <w:t>current year</w:t>
            </w:r>
            <w:r w:rsidRPr="002F3B34">
              <w:rPr>
                <w:rFonts w:ascii="Times New Roman" w:hAnsi="Times New Roman" w:cs="Times New Roman"/>
                <w:szCs w:val="24"/>
              </w:rPr>
              <w:t xml:space="preserve"> </w:t>
            </w:r>
          </w:p>
        </w:tc>
        <w:tc>
          <w:tcPr>
            <w:tcW w:w="956" w:type="dxa"/>
            <w:tcBorders>
              <w:top w:val="nil"/>
              <w:left w:val="nil"/>
              <w:bottom w:val="nil"/>
              <w:right w:val="nil"/>
            </w:tcBorders>
          </w:tcPr>
          <w:p w14:paraId="46F5156D"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4343D5E8"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1C720C63"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5E51E30B"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067FF5DD"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7607E318"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00D41F59" w:rsidRPr="00A04F75">
              <w:rPr>
                <w:rFonts w:ascii="Times New Roman" w:hAnsi="Times New Roman" w:cs="Times New Roman"/>
                <w:szCs w:val="24"/>
              </w:rPr>
              <w:t>36.1</w:t>
            </w:r>
          </w:p>
        </w:tc>
        <w:tc>
          <w:tcPr>
            <w:tcW w:w="956" w:type="dxa"/>
            <w:tcBorders>
              <w:top w:val="nil"/>
              <w:left w:val="nil"/>
              <w:bottom w:val="nil"/>
              <w:right w:val="nil"/>
            </w:tcBorders>
          </w:tcPr>
          <w:p w14:paraId="279FF852"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00D41F59" w:rsidRPr="00A04F75">
              <w:rPr>
                <w:rFonts w:ascii="Times New Roman" w:hAnsi="Times New Roman" w:cs="Times New Roman"/>
                <w:szCs w:val="24"/>
              </w:rPr>
              <w:t>36</w:t>
            </w:r>
            <w:r w:rsidRPr="002F3B34">
              <w:rPr>
                <w:rFonts w:ascii="Times New Roman" w:hAnsi="Times New Roman" w:cs="Times New Roman"/>
                <w:szCs w:val="24"/>
              </w:rPr>
              <w:t>.7</w:t>
            </w:r>
          </w:p>
        </w:tc>
      </w:tr>
      <w:tr w:rsidR="00240494" w:rsidRPr="002F3B34" w14:paraId="669EBB96" w14:textId="77777777" w:rsidTr="00240494">
        <w:tc>
          <w:tcPr>
            <w:tcW w:w="6771" w:type="dxa"/>
            <w:tcBorders>
              <w:top w:val="nil"/>
              <w:left w:val="nil"/>
              <w:bottom w:val="nil"/>
              <w:right w:val="nil"/>
            </w:tcBorders>
          </w:tcPr>
          <w:p w14:paraId="6AB1FD9C"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495B3B56"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4C004123"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40CFAEF6"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7A77E5A3"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64B188FC"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09E1259C"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00D41F59" w:rsidRPr="00A04F75">
              <w:rPr>
                <w:rFonts w:ascii="Times New Roman" w:hAnsi="Times New Roman" w:cs="Times New Roman"/>
                <w:szCs w:val="24"/>
              </w:rPr>
              <w:t>45.2</w:t>
            </w:r>
            <w:r w:rsidRPr="002F3B34">
              <w:rPr>
                <w:rFonts w:ascii="Times New Roman" w:hAnsi="Times New Roman" w:cs="Times New Roman"/>
                <w:szCs w:val="24"/>
              </w:rPr>
              <w:t>)</w:t>
            </w:r>
          </w:p>
        </w:tc>
        <w:tc>
          <w:tcPr>
            <w:tcW w:w="956" w:type="dxa"/>
            <w:tcBorders>
              <w:top w:val="nil"/>
              <w:left w:val="nil"/>
              <w:bottom w:val="nil"/>
              <w:right w:val="nil"/>
            </w:tcBorders>
          </w:tcPr>
          <w:p w14:paraId="1D6C8107"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00D41F59" w:rsidRPr="00A04F75">
              <w:rPr>
                <w:rFonts w:ascii="Times New Roman" w:hAnsi="Times New Roman" w:cs="Times New Roman"/>
                <w:szCs w:val="24"/>
              </w:rPr>
              <w:t>47.2</w:t>
            </w:r>
            <w:r w:rsidRPr="002F3B34">
              <w:rPr>
                <w:rFonts w:ascii="Times New Roman" w:hAnsi="Times New Roman" w:cs="Times New Roman"/>
                <w:szCs w:val="24"/>
              </w:rPr>
              <w:t>)</w:t>
            </w:r>
          </w:p>
        </w:tc>
      </w:tr>
      <w:tr w:rsidR="00240494" w:rsidRPr="002F3B34" w14:paraId="2B07E099" w14:textId="77777777" w:rsidTr="00240494">
        <w:tc>
          <w:tcPr>
            <w:tcW w:w="6771" w:type="dxa"/>
            <w:tcBorders>
              <w:top w:val="nil"/>
              <w:left w:val="nil"/>
              <w:bottom w:val="nil"/>
              <w:right w:val="nil"/>
            </w:tcBorders>
          </w:tcPr>
          <w:p w14:paraId="728F65B8"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023E4A32"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2AB10781"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479A134"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292A215B"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504E7540"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CF5063E"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0EFD6B3E"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r>
      <w:tr w:rsidR="00240494" w:rsidRPr="002F3B34" w14:paraId="5463947F" w14:textId="77777777" w:rsidTr="00240494">
        <w:tc>
          <w:tcPr>
            <w:tcW w:w="6771" w:type="dxa"/>
            <w:tcBorders>
              <w:top w:val="nil"/>
              <w:left w:val="nil"/>
              <w:bottom w:val="nil"/>
              <w:right w:val="nil"/>
            </w:tcBorders>
          </w:tcPr>
          <w:p w14:paraId="68401476" w14:textId="77777777" w:rsidR="00240494" w:rsidRPr="002F3B34" w:rsidRDefault="00633895" w:rsidP="004B1600">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Left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956" w:type="dxa"/>
            <w:tcBorders>
              <w:top w:val="nil"/>
              <w:left w:val="nil"/>
              <w:bottom w:val="nil"/>
              <w:right w:val="nil"/>
            </w:tcBorders>
          </w:tcPr>
          <w:p w14:paraId="7D5DEC9F"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174B9656"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49D31D69"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431C1984"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80BA4A9"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61B8BAB7"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06DFD7B9"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00633895" w:rsidRPr="00A04F75">
              <w:rPr>
                <w:rFonts w:ascii="Times New Roman" w:hAnsi="Times New Roman" w:cs="Times New Roman"/>
                <w:szCs w:val="24"/>
              </w:rPr>
              <w:t>28.2</w:t>
            </w:r>
            <w:r w:rsidRPr="00A84EB0">
              <w:rPr>
                <w:rFonts w:ascii="Times New Roman" w:hAnsi="Times New Roman"/>
                <w:vertAlign w:val="superscript"/>
              </w:rPr>
              <w:t>*</w:t>
            </w:r>
          </w:p>
        </w:tc>
      </w:tr>
      <w:tr w:rsidR="00240494" w:rsidRPr="002F3B34" w14:paraId="0B22A108" w14:textId="77777777" w:rsidTr="00240494">
        <w:tc>
          <w:tcPr>
            <w:tcW w:w="6771" w:type="dxa"/>
            <w:tcBorders>
              <w:top w:val="nil"/>
              <w:left w:val="nil"/>
              <w:bottom w:val="nil"/>
              <w:right w:val="nil"/>
            </w:tcBorders>
          </w:tcPr>
          <w:p w14:paraId="0B44A023"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2C00394"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7B562CB0"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33FD59AB"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1965C72C"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7096927C"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5B7EA564"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49BE165"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00633895" w:rsidRPr="00A04F75">
              <w:rPr>
                <w:rFonts w:ascii="Times New Roman" w:hAnsi="Times New Roman" w:cs="Times New Roman"/>
                <w:szCs w:val="24"/>
              </w:rPr>
              <w:t>11.6</w:t>
            </w:r>
            <w:r w:rsidRPr="002F3B34">
              <w:rPr>
                <w:rFonts w:ascii="Times New Roman" w:hAnsi="Times New Roman" w:cs="Times New Roman"/>
                <w:szCs w:val="24"/>
              </w:rPr>
              <w:t>)</w:t>
            </w:r>
          </w:p>
        </w:tc>
      </w:tr>
      <w:tr w:rsidR="00240494" w:rsidRPr="002F3B34" w14:paraId="1DBD7F46" w14:textId="77777777" w:rsidTr="00240494">
        <w:tc>
          <w:tcPr>
            <w:tcW w:w="6771" w:type="dxa"/>
            <w:tcBorders>
              <w:top w:val="nil"/>
              <w:left w:val="nil"/>
              <w:bottom w:val="nil"/>
              <w:right w:val="nil"/>
            </w:tcBorders>
          </w:tcPr>
          <w:p w14:paraId="4A88725E"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F985E68"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436AA8F4"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DE06524"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54950160"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73629DE8"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2950CBE9"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1BAB8296"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r>
      <w:tr w:rsidR="00240494" w:rsidRPr="002F3B34" w14:paraId="6302C09F" w14:textId="77777777" w:rsidTr="00240494">
        <w:tc>
          <w:tcPr>
            <w:tcW w:w="6771" w:type="dxa"/>
            <w:tcBorders>
              <w:top w:val="nil"/>
              <w:left w:val="nil"/>
              <w:bottom w:val="nil"/>
              <w:right w:val="nil"/>
            </w:tcBorders>
          </w:tcPr>
          <w:p w14:paraId="09C85E8D" w14:textId="77777777" w:rsidR="00240494" w:rsidRPr="002F3B34" w:rsidRDefault="00633895" w:rsidP="004B1600">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Right</w:t>
            </w:r>
            <w:r>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956" w:type="dxa"/>
            <w:tcBorders>
              <w:top w:val="nil"/>
              <w:left w:val="nil"/>
              <w:bottom w:val="nil"/>
              <w:right w:val="nil"/>
            </w:tcBorders>
          </w:tcPr>
          <w:p w14:paraId="66DFEA96"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3737728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65309BEC"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14DA9D8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1D91F8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19A4FD6"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37F59285"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00633895" w:rsidRPr="00A04F75">
              <w:rPr>
                <w:rFonts w:ascii="Times New Roman" w:hAnsi="Times New Roman" w:cs="Times New Roman"/>
                <w:szCs w:val="24"/>
              </w:rPr>
              <w:t>28.8</w:t>
            </w:r>
          </w:p>
        </w:tc>
      </w:tr>
      <w:tr w:rsidR="00240494" w:rsidRPr="002F3B34" w14:paraId="3D90CE06" w14:textId="77777777" w:rsidTr="00240494">
        <w:tc>
          <w:tcPr>
            <w:tcW w:w="6771" w:type="dxa"/>
            <w:tcBorders>
              <w:top w:val="nil"/>
              <w:left w:val="nil"/>
              <w:bottom w:val="nil"/>
              <w:right w:val="nil"/>
            </w:tcBorders>
          </w:tcPr>
          <w:p w14:paraId="7BA47876"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FAE4BDD"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0CA14703"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22DFCF5"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594E05B0"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213D241B"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419EDA4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p>
        </w:tc>
        <w:tc>
          <w:tcPr>
            <w:tcW w:w="956" w:type="dxa"/>
            <w:tcBorders>
              <w:top w:val="nil"/>
              <w:left w:val="nil"/>
              <w:bottom w:val="nil"/>
              <w:right w:val="nil"/>
            </w:tcBorders>
          </w:tcPr>
          <w:p w14:paraId="0627BD2B"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w:t>
            </w:r>
            <w:r w:rsidR="000F05DE" w:rsidRPr="00A04F75">
              <w:rPr>
                <w:rFonts w:ascii="Times New Roman" w:hAnsi="Times New Roman" w:cs="Times New Roman"/>
                <w:szCs w:val="24"/>
              </w:rPr>
              <w:t>14.4</w:t>
            </w:r>
            <w:r w:rsidRPr="002F3B34">
              <w:rPr>
                <w:rFonts w:ascii="Times New Roman" w:hAnsi="Times New Roman" w:cs="Times New Roman"/>
                <w:szCs w:val="24"/>
              </w:rPr>
              <w:t>)</w:t>
            </w:r>
          </w:p>
        </w:tc>
      </w:tr>
      <w:tr w:rsidR="00240494" w:rsidRPr="002F3B34" w14:paraId="13290269" w14:textId="77777777" w:rsidTr="00240494">
        <w:tc>
          <w:tcPr>
            <w:tcW w:w="6771" w:type="dxa"/>
            <w:tcBorders>
              <w:top w:val="nil"/>
              <w:left w:val="nil"/>
              <w:bottom w:val="nil"/>
              <w:right w:val="nil"/>
            </w:tcBorders>
          </w:tcPr>
          <w:p w14:paraId="773C86E1"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80F699C"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325379E3"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4777C8BD"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595CDB3E"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5A53B888"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58DB1F88"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c>
          <w:tcPr>
            <w:tcW w:w="956" w:type="dxa"/>
            <w:tcBorders>
              <w:top w:val="nil"/>
              <w:left w:val="nil"/>
              <w:bottom w:val="nil"/>
              <w:right w:val="nil"/>
            </w:tcBorders>
          </w:tcPr>
          <w:p w14:paraId="69559459" w14:textId="77777777" w:rsidR="00240494" w:rsidRPr="002F3B34" w:rsidRDefault="00240494" w:rsidP="004B1600">
            <w:pPr>
              <w:widowControl w:val="0"/>
              <w:autoSpaceDE w:val="0"/>
              <w:autoSpaceDN w:val="0"/>
              <w:adjustRightInd w:val="0"/>
              <w:rPr>
                <w:rFonts w:ascii="Times New Roman" w:hAnsi="Times New Roman" w:cs="Times New Roman"/>
                <w:szCs w:val="24"/>
              </w:rPr>
            </w:pPr>
          </w:p>
        </w:tc>
      </w:tr>
      <w:tr w:rsidR="00240494" w:rsidRPr="002F3B34" w14:paraId="798DAD8A" w14:textId="77777777" w:rsidTr="00240494">
        <w:tc>
          <w:tcPr>
            <w:tcW w:w="6771" w:type="dxa"/>
            <w:tcBorders>
              <w:top w:val="single" w:sz="4" w:space="0" w:color="auto"/>
              <w:left w:val="nil"/>
              <w:right w:val="nil"/>
            </w:tcBorders>
          </w:tcPr>
          <w:p w14:paraId="274E3516" w14:textId="77777777" w:rsidR="00240494" w:rsidRPr="002F3B34" w:rsidRDefault="00240494" w:rsidP="004B1600">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szCs w:val="24"/>
              </w:rPr>
              <w:t>Country-years</w:t>
            </w:r>
          </w:p>
        </w:tc>
        <w:tc>
          <w:tcPr>
            <w:tcW w:w="956" w:type="dxa"/>
            <w:tcBorders>
              <w:top w:val="single" w:sz="4" w:space="0" w:color="auto"/>
              <w:left w:val="nil"/>
              <w:right w:val="nil"/>
            </w:tcBorders>
          </w:tcPr>
          <w:p w14:paraId="7E5756A5" w14:textId="77777777" w:rsidR="00240494" w:rsidRPr="002F3B34" w:rsidRDefault="00FA229B"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306</w:t>
            </w:r>
          </w:p>
        </w:tc>
        <w:tc>
          <w:tcPr>
            <w:tcW w:w="956" w:type="dxa"/>
            <w:tcBorders>
              <w:top w:val="single" w:sz="4" w:space="0" w:color="auto"/>
              <w:left w:val="nil"/>
              <w:right w:val="nil"/>
            </w:tcBorders>
          </w:tcPr>
          <w:p w14:paraId="77A3E6FB" w14:textId="77777777" w:rsidR="00240494" w:rsidRPr="002F3B34" w:rsidRDefault="00FA229B"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306</w:t>
            </w:r>
          </w:p>
        </w:tc>
        <w:tc>
          <w:tcPr>
            <w:tcW w:w="956" w:type="dxa"/>
            <w:tcBorders>
              <w:top w:val="single" w:sz="4" w:space="0" w:color="auto"/>
              <w:left w:val="nil"/>
              <w:right w:val="nil"/>
            </w:tcBorders>
          </w:tcPr>
          <w:p w14:paraId="65E132E0" w14:textId="77777777" w:rsidR="00240494" w:rsidRPr="002F3B34" w:rsidRDefault="00FA229B" w:rsidP="004B1600">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299</w:t>
            </w:r>
          </w:p>
        </w:tc>
        <w:tc>
          <w:tcPr>
            <w:tcW w:w="956" w:type="dxa"/>
            <w:tcBorders>
              <w:top w:val="single" w:sz="4" w:space="0" w:color="auto"/>
              <w:left w:val="nil"/>
              <w:right w:val="nil"/>
            </w:tcBorders>
          </w:tcPr>
          <w:p w14:paraId="0B69B9C8"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294</w:t>
            </w:r>
          </w:p>
        </w:tc>
        <w:tc>
          <w:tcPr>
            <w:tcW w:w="956" w:type="dxa"/>
            <w:tcBorders>
              <w:top w:val="single" w:sz="4" w:space="0" w:color="auto"/>
              <w:left w:val="nil"/>
              <w:right w:val="nil"/>
            </w:tcBorders>
          </w:tcPr>
          <w:p w14:paraId="7208F18A"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294</w:t>
            </w:r>
          </w:p>
        </w:tc>
        <w:tc>
          <w:tcPr>
            <w:tcW w:w="956" w:type="dxa"/>
            <w:tcBorders>
              <w:top w:val="single" w:sz="4" w:space="0" w:color="auto"/>
              <w:left w:val="nil"/>
              <w:right w:val="nil"/>
            </w:tcBorders>
          </w:tcPr>
          <w:p w14:paraId="5C272AB3"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294</w:t>
            </w:r>
          </w:p>
        </w:tc>
        <w:tc>
          <w:tcPr>
            <w:tcW w:w="956" w:type="dxa"/>
            <w:tcBorders>
              <w:top w:val="single" w:sz="4" w:space="0" w:color="auto"/>
              <w:left w:val="nil"/>
              <w:right w:val="nil"/>
            </w:tcBorders>
          </w:tcPr>
          <w:p w14:paraId="659E00B3"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271</w:t>
            </w:r>
          </w:p>
        </w:tc>
      </w:tr>
      <w:tr w:rsidR="00240494" w:rsidRPr="002F3B34" w14:paraId="36C36A5A" w14:textId="77777777" w:rsidTr="00240494">
        <w:tc>
          <w:tcPr>
            <w:tcW w:w="6771" w:type="dxa"/>
            <w:tcBorders>
              <w:top w:val="nil"/>
              <w:left w:val="nil"/>
              <w:right w:val="nil"/>
            </w:tcBorders>
          </w:tcPr>
          <w:p w14:paraId="4B477128" w14:textId="77777777" w:rsidR="00240494" w:rsidRPr="002F3B34" w:rsidRDefault="00240494" w:rsidP="004B1600">
            <w:pPr>
              <w:widowControl w:val="0"/>
              <w:autoSpaceDE w:val="0"/>
              <w:autoSpaceDN w:val="0"/>
              <w:adjustRightInd w:val="0"/>
              <w:rPr>
                <w:rFonts w:ascii="Times New Roman" w:hAnsi="Times New Roman" w:cs="Times New Roman"/>
                <w:iCs/>
                <w:szCs w:val="24"/>
              </w:rPr>
            </w:pPr>
            <w:r w:rsidRPr="002F3B34">
              <w:rPr>
                <w:rFonts w:ascii="Times New Roman" w:hAnsi="Times New Roman" w:cs="Times New Roman"/>
                <w:iCs/>
                <w:szCs w:val="24"/>
              </w:rPr>
              <w:t>Countries</w:t>
            </w:r>
          </w:p>
        </w:tc>
        <w:tc>
          <w:tcPr>
            <w:tcW w:w="956" w:type="dxa"/>
            <w:tcBorders>
              <w:top w:val="nil"/>
              <w:left w:val="nil"/>
              <w:right w:val="nil"/>
            </w:tcBorders>
          </w:tcPr>
          <w:p w14:paraId="0ECCE646"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21</w:t>
            </w:r>
          </w:p>
        </w:tc>
        <w:tc>
          <w:tcPr>
            <w:tcW w:w="956" w:type="dxa"/>
            <w:tcBorders>
              <w:top w:val="nil"/>
              <w:left w:val="nil"/>
              <w:right w:val="nil"/>
            </w:tcBorders>
          </w:tcPr>
          <w:p w14:paraId="65AABDA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21</w:t>
            </w:r>
          </w:p>
        </w:tc>
        <w:tc>
          <w:tcPr>
            <w:tcW w:w="956" w:type="dxa"/>
            <w:tcBorders>
              <w:top w:val="nil"/>
              <w:left w:val="nil"/>
              <w:right w:val="nil"/>
            </w:tcBorders>
          </w:tcPr>
          <w:p w14:paraId="6239BE26"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21</w:t>
            </w:r>
          </w:p>
        </w:tc>
        <w:tc>
          <w:tcPr>
            <w:tcW w:w="956" w:type="dxa"/>
            <w:tcBorders>
              <w:top w:val="nil"/>
              <w:left w:val="nil"/>
              <w:right w:val="nil"/>
            </w:tcBorders>
          </w:tcPr>
          <w:p w14:paraId="5C40B0E3"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21</w:t>
            </w:r>
          </w:p>
        </w:tc>
        <w:tc>
          <w:tcPr>
            <w:tcW w:w="956" w:type="dxa"/>
            <w:tcBorders>
              <w:top w:val="nil"/>
              <w:left w:val="nil"/>
              <w:right w:val="nil"/>
            </w:tcBorders>
          </w:tcPr>
          <w:p w14:paraId="38CEE2AF"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21</w:t>
            </w:r>
          </w:p>
        </w:tc>
        <w:tc>
          <w:tcPr>
            <w:tcW w:w="956" w:type="dxa"/>
            <w:tcBorders>
              <w:top w:val="nil"/>
              <w:left w:val="nil"/>
              <w:right w:val="nil"/>
            </w:tcBorders>
          </w:tcPr>
          <w:p w14:paraId="73DB34D4"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21</w:t>
            </w:r>
          </w:p>
        </w:tc>
        <w:tc>
          <w:tcPr>
            <w:tcW w:w="956" w:type="dxa"/>
            <w:tcBorders>
              <w:top w:val="nil"/>
              <w:left w:val="nil"/>
              <w:right w:val="nil"/>
            </w:tcBorders>
          </w:tcPr>
          <w:p w14:paraId="3B86A06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21</w:t>
            </w:r>
          </w:p>
        </w:tc>
      </w:tr>
      <w:tr w:rsidR="00240494" w:rsidRPr="002F3B34" w14:paraId="5C21907C" w14:textId="77777777" w:rsidTr="00240494">
        <w:tc>
          <w:tcPr>
            <w:tcW w:w="6771" w:type="dxa"/>
            <w:tcBorders>
              <w:left w:val="nil"/>
              <w:bottom w:val="single" w:sz="4" w:space="0" w:color="auto"/>
              <w:right w:val="nil"/>
            </w:tcBorders>
          </w:tcPr>
          <w:p w14:paraId="01D3D29E" w14:textId="77777777" w:rsidR="00240494" w:rsidRPr="002F3B34" w:rsidRDefault="00240494" w:rsidP="004B1600">
            <w:pPr>
              <w:widowControl w:val="0"/>
              <w:autoSpaceDE w:val="0"/>
              <w:autoSpaceDN w:val="0"/>
              <w:adjustRightInd w:val="0"/>
              <w:rPr>
                <w:rFonts w:ascii="Times New Roman" w:hAnsi="Times New Roman" w:cs="Times New Roman"/>
                <w:szCs w:val="24"/>
              </w:rPr>
            </w:pPr>
            <w:r w:rsidRPr="002F3B34">
              <w:rPr>
                <w:rFonts w:ascii="Times New Roman" w:hAnsi="Times New Roman" w:cs="Times New Roman"/>
                <w:i/>
                <w:iCs/>
                <w:szCs w:val="24"/>
              </w:rPr>
              <w:t>R</w:t>
            </w:r>
            <w:r w:rsidRPr="002F3B34">
              <w:rPr>
                <w:rFonts w:ascii="Times New Roman" w:hAnsi="Times New Roman" w:cs="Times New Roman"/>
                <w:szCs w:val="24"/>
                <w:vertAlign w:val="superscript"/>
              </w:rPr>
              <w:t>2</w:t>
            </w:r>
          </w:p>
        </w:tc>
        <w:tc>
          <w:tcPr>
            <w:tcW w:w="956" w:type="dxa"/>
            <w:tcBorders>
              <w:left w:val="nil"/>
              <w:bottom w:val="single" w:sz="4" w:space="0" w:color="auto"/>
              <w:right w:val="nil"/>
            </w:tcBorders>
          </w:tcPr>
          <w:p w14:paraId="3643BBA9"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w:t>
            </w:r>
            <w:r w:rsidR="000F05DE" w:rsidRPr="00A04F75">
              <w:rPr>
                <w:rFonts w:ascii="Times New Roman" w:hAnsi="Times New Roman" w:cs="Times New Roman"/>
                <w:szCs w:val="24"/>
              </w:rPr>
              <w:t>089</w:t>
            </w:r>
          </w:p>
        </w:tc>
        <w:tc>
          <w:tcPr>
            <w:tcW w:w="956" w:type="dxa"/>
            <w:tcBorders>
              <w:left w:val="nil"/>
              <w:bottom w:val="single" w:sz="4" w:space="0" w:color="auto"/>
              <w:right w:val="nil"/>
            </w:tcBorders>
          </w:tcPr>
          <w:p w14:paraId="5F830814"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w:t>
            </w:r>
            <w:r w:rsidR="000F05DE" w:rsidRPr="00A04F75">
              <w:rPr>
                <w:rFonts w:ascii="Times New Roman" w:hAnsi="Times New Roman" w:cs="Times New Roman"/>
                <w:szCs w:val="24"/>
              </w:rPr>
              <w:t>15</w:t>
            </w:r>
          </w:p>
        </w:tc>
        <w:tc>
          <w:tcPr>
            <w:tcW w:w="956" w:type="dxa"/>
            <w:tcBorders>
              <w:left w:val="nil"/>
              <w:bottom w:val="single" w:sz="4" w:space="0" w:color="auto"/>
              <w:right w:val="nil"/>
            </w:tcBorders>
          </w:tcPr>
          <w:p w14:paraId="40D9D543"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w:t>
            </w:r>
            <w:r w:rsidR="000F05DE" w:rsidRPr="00A04F75">
              <w:rPr>
                <w:rFonts w:ascii="Times New Roman" w:hAnsi="Times New Roman" w:cs="Times New Roman"/>
                <w:szCs w:val="24"/>
              </w:rPr>
              <w:t>17</w:t>
            </w:r>
          </w:p>
        </w:tc>
        <w:tc>
          <w:tcPr>
            <w:tcW w:w="956" w:type="dxa"/>
            <w:tcBorders>
              <w:left w:val="nil"/>
              <w:bottom w:val="single" w:sz="4" w:space="0" w:color="auto"/>
              <w:right w:val="nil"/>
            </w:tcBorders>
          </w:tcPr>
          <w:p w14:paraId="7FD737B0"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w:t>
            </w:r>
            <w:r w:rsidR="000F05DE" w:rsidRPr="00A04F75">
              <w:rPr>
                <w:rFonts w:ascii="Times New Roman" w:hAnsi="Times New Roman" w:cs="Times New Roman"/>
                <w:szCs w:val="24"/>
              </w:rPr>
              <w:t>18</w:t>
            </w:r>
          </w:p>
        </w:tc>
        <w:tc>
          <w:tcPr>
            <w:tcW w:w="956" w:type="dxa"/>
            <w:tcBorders>
              <w:left w:val="nil"/>
              <w:bottom w:val="single" w:sz="4" w:space="0" w:color="auto"/>
              <w:right w:val="nil"/>
            </w:tcBorders>
          </w:tcPr>
          <w:p w14:paraId="7E805EA8"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w:t>
            </w:r>
            <w:r w:rsidR="000F05DE" w:rsidRPr="00A04F75">
              <w:rPr>
                <w:rFonts w:ascii="Times New Roman" w:hAnsi="Times New Roman" w:cs="Times New Roman"/>
                <w:szCs w:val="24"/>
              </w:rPr>
              <w:t>29</w:t>
            </w:r>
          </w:p>
        </w:tc>
        <w:tc>
          <w:tcPr>
            <w:tcW w:w="956" w:type="dxa"/>
            <w:tcBorders>
              <w:left w:val="nil"/>
              <w:bottom w:val="single" w:sz="4" w:space="0" w:color="auto"/>
              <w:right w:val="nil"/>
            </w:tcBorders>
          </w:tcPr>
          <w:p w14:paraId="1DBC5FD3"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0.29</w:t>
            </w:r>
          </w:p>
        </w:tc>
        <w:tc>
          <w:tcPr>
            <w:tcW w:w="956" w:type="dxa"/>
            <w:tcBorders>
              <w:left w:val="nil"/>
              <w:bottom w:val="single" w:sz="4" w:space="0" w:color="auto"/>
              <w:right w:val="nil"/>
            </w:tcBorders>
          </w:tcPr>
          <w:p w14:paraId="5EB4E0D1" w14:textId="77777777" w:rsidR="00240494" w:rsidRPr="002F3B34" w:rsidRDefault="00240494" w:rsidP="004B1600">
            <w:pPr>
              <w:widowControl w:val="0"/>
              <w:autoSpaceDE w:val="0"/>
              <w:autoSpaceDN w:val="0"/>
              <w:adjustRightInd w:val="0"/>
              <w:jc w:val="center"/>
              <w:rPr>
                <w:rFonts w:ascii="Times New Roman" w:hAnsi="Times New Roman" w:cs="Times New Roman"/>
                <w:szCs w:val="24"/>
              </w:rPr>
            </w:pPr>
            <w:r w:rsidRPr="002F3B34">
              <w:rPr>
                <w:rFonts w:ascii="Times New Roman" w:hAnsi="Times New Roman" w:cs="Times New Roman"/>
                <w:szCs w:val="24"/>
              </w:rPr>
              <w:t>0.31</w:t>
            </w:r>
          </w:p>
        </w:tc>
      </w:tr>
    </w:tbl>
    <w:p w14:paraId="0EB0C7BB" w14:textId="77777777" w:rsidR="00240494" w:rsidRPr="002F3B34" w:rsidRDefault="00240494" w:rsidP="00A84EB0">
      <w:pPr>
        <w:widowControl w:val="0"/>
        <w:autoSpaceDE w:val="0"/>
        <w:autoSpaceDN w:val="0"/>
        <w:adjustRightInd w:val="0"/>
        <w:rPr>
          <w:rFonts w:ascii="Times New Roman" w:hAnsi="Times New Roman" w:cs="Times New Roman"/>
          <w:sz w:val="20"/>
          <w:szCs w:val="20"/>
        </w:rPr>
      </w:pPr>
      <w:r w:rsidRPr="00A84EB0">
        <w:rPr>
          <w:rFonts w:ascii="Times New Roman" w:hAnsi="Times New Roman" w:cs="Times New Roman"/>
          <w:i/>
          <w:sz w:val="20"/>
          <w:szCs w:val="20"/>
        </w:rPr>
        <w:t>Notes:</w:t>
      </w:r>
      <w:r w:rsidR="00FA229B" w:rsidRPr="00A84EB0">
        <w:rPr>
          <w:rFonts w:ascii="Times New Roman" w:hAnsi="Times New Roman" w:cs="Times New Roman"/>
          <w:i/>
          <w:sz w:val="20"/>
          <w:szCs w:val="20"/>
        </w:rPr>
        <w:t xml:space="preserve"> </w:t>
      </w:r>
      <w:r w:rsidRPr="002F3B34">
        <w:rPr>
          <w:rFonts w:ascii="Times New Roman" w:hAnsi="Times New Roman" w:cs="Times New Roman"/>
          <w:sz w:val="20"/>
          <w:szCs w:val="20"/>
        </w:rPr>
        <w:t>Source: EuroStat 2013 edition, IMF MONA 2013 edition, World Bank Political Institutions Database 2013 edition. OECD Health data 2013 edition.</w:t>
      </w:r>
    </w:p>
    <w:p w14:paraId="2EEB0CE1" w14:textId="77777777" w:rsidR="00240494" w:rsidRPr="002F3B34" w:rsidRDefault="00240494" w:rsidP="00240494">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 xml:space="preserve">Standard errors in parentheses, adjusted for repeated observations: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0.05, ** </w:t>
      </w:r>
      <w:r w:rsidRPr="002F3B34">
        <w:rPr>
          <w:rFonts w:ascii="Times New Roman" w:hAnsi="Times New Roman" w:cs="Times New Roman"/>
          <w:i/>
          <w:iCs/>
          <w:sz w:val="20"/>
          <w:szCs w:val="20"/>
        </w:rPr>
        <w:t>p</w:t>
      </w:r>
      <w:r w:rsidRPr="002F3B34">
        <w:rPr>
          <w:rFonts w:ascii="Times New Roman" w:hAnsi="Times New Roman" w:cs="Times New Roman"/>
          <w:sz w:val="20"/>
          <w:szCs w:val="20"/>
        </w:rPr>
        <w:t xml:space="preserve"> &lt; 0.01</w:t>
      </w:r>
    </w:p>
    <w:p w14:paraId="0A59D335" w14:textId="77777777" w:rsidR="006D3D69" w:rsidRPr="006D3D69" w:rsidRDefault="006D3D69" w:rsidP="00240494">
      <w:pPr>
        <w:widowControl w:val="0"/>
        <w:autoSpaceDE w:val="0"/>
        <w:autoSpaceDN w:val="0"/>
        <w:adjustRightInd w:val="0"/>
        <w:rPr>
          <w:rFonts w:ascii="Times New Roman" w:hAnsi="Times New Roman" w:cs="Times New Roman"/>
          <w:bCs/>
          <w:sz w:val="20"/>
          <w:szCs w:val="20"/>
        </w:rPr>
      </w:pPr>
      <w:r w:rsidRPr="006D3D69">
        <w:rPr>
          <w:rFonts w:ascii="Times New Roman" w:hAnsi="Times New Roman" w:cs="Times New Roman"/>
          <w:bCs/>
          <w:sz w:val="20"/>
          <w:szCs w:val="20"/>
          <w:vertAlign w:val="superscript"/>
        </w:rPr>
        <w:t xml:space="preserve">† </w:t>
      </w:r>
      <w:r w:rsidRPr="006D3D69">
        <w:rPr>
          <w:rFonts w:ascii="Times New Roman" w:hAnsi="Times New Roman" w:cs="Times New Roman"/>
          <w:bCs/>
          <w:sz w:val="20"/>
          <w:szCs w:val="20"/>
        </w:rPr>
        <w:t>- units in real per capita, in constant purchasing-power-parity USD</w:t>
      </w:r>
    </w:p>
    <w:p w14:paraId="330845F6" w14:textId="77777777" w:rsidR="00240494" w:rsidRPr="002F3B34" w:rsidRDefault="00240494" w:rsidP="00240494">
      <w:pPr>
        <w:widowControl w:val="0"/>
        <w:autoSpaceDE w:val="0"/>
        <w:autoSpaceDN w:val="0"/>
        <w:adjustRightInd w:val="0"/>
        <w:rPr>
          <w:rFonts w:ascii="Times New Roman" w:hAnsi="Times New Roman" w:cs="Times New Roman"/>
          <w:sz w:val="20"/>
          <w:szCs w:val="20"/>
        </w:rPr>
      </w:pPr>
      <w:r w:rsidRPr="002F3B34">
        <w:rPr>
          <w:rFonts w:ascii="Times New Roman" w:hAnsi="Times New Roman" w:cs="Times New Roman"/>
          <w:sz w:val="20"/>
          <w:szCs w:val="20"/>
        </w:rPr>
        <w:t xml:space="preserve">˚ Baseline category is Centre. </w:t>
      </w:r>
      <w:r w:rsidR="00C10BE4" w:rsidRPr="00C10BE4">
        <w:rPr>
          <w:rFonts w:ascii="Times New Roman" w:hAnsi="Times New Roman" w:cs="Times New Roman"/>
          <w:sz w:val="20"/>
          <w:szCs w:val="20"/>
        </w:rPr>
        <w:t xml:space="preserve">Taken from the World Bank Political Institutions database, </w:t>
      </w:r>
      <w:r w:rsidRPr="002F3B34">
        <w:rPr>
          <w:rFonts w:ascii="Times New Roman" w:hAnsi="Times New Roman" w:cs="Times New Roman"/>
          <w:sz w:val="20"/>
          <w:szCs w:val="20"/>
        </w:rPr>
        <w:t xml:space="preserve">Left </w:t>
      </w:r>
      <w:r w:rsidR="00C10BE4" w:rsidRPr="00C10BE4">
        <w:rPr>
          <w:rFonts w:ascii="Times New Roman" w:hAnsi="Times New Roman" w:cs="Times New Roman"/>
          <w:sz w:val="20"/>
          <w:szCs w:val="20"/>
        </w:rPr>
        <w:t xml:space="preserve">governing party </w:t>
      </w:r>
      <w:r w:rsidRPr="002F3B34">
        <w:rPr>
          <w:rFonts w:ascii="Times New Roman" w:hAnsi="Times New Roman" w:cs="Times New Roman"/>
          <w:sz w:val="20"/>
          <w:szCs w:val="20"/>
        </w:rPr>
        <w:t>and Right</w:t>
      </w:r>
      <w:r w:rsidR="00C10BE4" w:rsidRPr="00C10BE4">
        <w:rPr>
          <w:rFonts w:ascii="Times New Roman" w:hAnsi="Times New Roman" w:cs="Times New Roman"/>
          <w:sz w:val="20"/>
          <w:szCs w:val="20"/>
        </w:rPr>
        <w:t xml:space="preserve"> governing party</w:t>
      </w:r>
      <w:r w:rsidRPr="002F3B34">
        <w:rPr>
          <w:rFonts w:ascii="Times New Roman" w:hAnsi="Times New Roman" w:cs="Times New Roman"/>
          <w:sz w:val="20"/>
          <w:szCs w:val="20"/>
        </w:rPr>
        <w:t xml:space="preserve"> are measures of the economic ideology of the governing party (or the party whose leader is head of a coalition) derived from party manifestos.</w:t>
      </w:r>
    </w:p>
    <w:p w14:paraId="5F70C090" w14:textId="77777777" w:rsidR="00240494" w:rsidRPr="00A84EB0" w:rsidRDefault="00240494" w:rsidP="00A84EB0">
      <w:pPr>
        <w:widowControl w:val="0"/>
        <w:autoSpaceDE w:val="0"/>
        <w:autoSpaceDN w:val="0"/>
        <w:adjustRightInd w:val="0"/>
        <w:rPr>
          <w:rFonts w:ascii="Times New Roman" w:hAnsi="Times New Roman"/>
          <w:sz w:val="20"/>
        </w:rPr>
      </w:pPr>
      <w:r w:rsidRPr="002F3B34">
        <w:rPr>
          <w:rFonts w:ascii="Times New Roman" w:hAnsi="Times New Roman" w:cs="Times New Roman"/>
          <w:sz w:val="20"/>
          <w:szCs w:val="20"/>
        </w:rPr>
        <w:t>IMF bailouts include Stand-by Arrangements, usually short-term lending</w:t>
      </w:r>
      <w:r w:rsidR="006D3D69" w:rsidRPr="006D3D69">
        <w:rPr>
          <w:rFonts w:ascii="Times New Roman" w:hAnsi="Times New Roman" w:cs="Times New Roman"/>
          <w:sz w:val="20"/>
          <w:szCs w:val="20"/>
        </w:rPr>
        <w:t xml:space="preserve"> to states to cover the effect of unanticipated shocks</w:t>
      </w:r>
      <w:r w:rsidRPr="002F3B34">
        <w:rPr>
          <w:rFonts w:ascii="Times New Roman" w:hAnsi="Times New Roman" w:cs="Times New Roman"/>
          <w:sz w:val="20"/>
          <w:szCs w:val="20"/>
        </w:rPr>
        <w:t xml:space="preserve">, and Extended Fund Facilities, which are usually medium- or long-term lending programmes aimed at overcoming </w:t>
      </w:r>
      <w:r w:rsidR="006D3D69" w:rsidRPr="006D3D69">
        <w:rPr>
          <w:rFonts w:ascii="Times New Roman" w:hAnsi="Times New Roman" w:cs="Times New Roman"/>
          <w:sz w:val="20"/>
          <w:szCs w:val="20"/>
        </w:rPr>
        <w:t xml:space="preserve">weaknesses in the national economy which may have precipitated or exacerbated the shock.   </w:t>
      </w:r>
    </w:p>
    <w:p w14:paraId="0398381F" w14:textId="77777777" w:rsidR="0061050D" w:rsidRPr="00A04F75" w:rsidRDefault="0061050D">
      <w:pPr>
        <w:rPr>
          <w:rFonts w:ascii="Times New Roman" w:hAnsi="Times New Roman" w:cs="Times New Roman"/>
          <w:sz w:val="20"/>
          <w:szCs w:val="20"/>
        </w:rPr>
      </w:pPr>
      <w:r w:rsidRPr="00A04F75">
        <w:rPr>
          <w:rFonts w:ascii="Times New Roman" w:hAnsi="Times New Roman" w:cs="Times New Roman"/>
          <w:sz w:val="20"/>
          <w:szCs w:val="20"/>
        </w:rPr>
        <w:br w:type="page"/>
      </w:r>
    </w:p>
    <w:p w14:paraId="01ADAEA5" w14:textId="77777777" w:rsidR="000D59E3" w:rsidRPr="00A04F75" w:rsidRDefault="0061050D" w:rsidP="000071E6">
      <w:pPr>
        <w:rPr>
          <w:rFonts w:ascii="Times New Roman" w:hAnsi="Times New Roman" w:cs="Times New Roman"/>
          <w:szCs w:val="24"/>
        </w:rPr>
      </w:pPr>
      <w:r w:rsidRPr="00A04F75">
        <w:rPr>
          <w:rFonts w:ascii="Times New Roman" w:hAnsi="Times New Roman" w:cs="Times New Roman"/>
          <w:szCs w:val="24"/>
        </w:rPr>
        <w:t>Web Appendix 1</w:t>
      </w:r>
      <w:r w:rsidR="00585500">
        <w:rPr>
          <w:rFonts w:ascii="Times New Roman" w:hAnsi="Times New Roman" w:cs="Times New Roman"/>
          <w:szCs w:val="24"/>
        </w:rPr>
        <w:t>3</w:t>
      </w:r>
      <w:r w:rsidRPr="00A04F75">
        <w:rPr>
          <w:rFonts w:ascii="Times New Roman" w:hAnsi="Times New Roman" w:cs="Times New Roman"/>
          <w:szCs w:val="24"/>
        </w:rPr>
        <w:t xml:space="preserve">: </w:t>
      </w:r>
      <w:r w:rsidR="004858B6" w:rsidRPr="00A04F75">
        <w:rPr>
          <w:rFonts w:ascii="Times New Roman" w:hAnsi="Times New Roman" w:cs="Times New Roman"/>
          <w:szCs w:val="24"/>
        </w:rPr>
        <w:t>Fixed effects logistic regression of healthcare austerity controlling for economic and political determinants, 27 EU countries, 1995-2011</w:t>
      </w:r>
    </w:p>
    <w:tbl>
      <w:tblPr>
        <w:tblW w:w="5000" w:type="pct"/>
        <w:tblLayout w:type="fixed"/>
        <w:tblLook w:val="0000" w:firstRow="0" w:lastRow="0" w:firstColumn="0" w:lastColumn="0" w:noHBand="0" w:noVBand="0"/>
      </w:tblPr>
      <w:tblGrid>
        <w:gridCol w:w="4630"/>
        <w:gridCol w:w="1588"/>
        <w:gridCol w:w="1587"/>
        <w:gridCol w:w="1587"/>
        <w:gridCol w:w="1587"/>
        <w:gridCol w:w="1579"/>
        <w:gridCol w:w="1616"/>
      </w:tblGrid>
      <w:tr w:rsidR="004858B6" w:rsidRPr="00A04F75" w14:paraId="3C13A89E" w14:textId="77777777" w:rsidTr="004858B6">
        <w:tc>
          <w:tcPr>
            <w:tcW w:w="1633" w:type="pct"/>
            <w:tcBorders>
              <w:top w:val="single" w:sz="4" w:space="0" w:color="auto"/>
              <w:left w:val="nil"/>
              <w:right w:val="nil"/>
            </w:tcBorders>
          </w:tcPr>
          <w:p w14:paraId="7F1197F3" w14:textId="77777777" w:rsidR="004858B6" w:rsidRPr="00A04F75" w:rsidRDefault="004858B6" w:rsidP="004858B6">
            <w:pPr>
              <w:widowControl w:val="0"/>
              <w:autoSpaceDE w:val="0"/>
              <w:autoSpaceDN w:val="0"/>
              <w:adjustRightInd w:val="0"/>
              <w:rPr>
                <w:rFonts w:ascii="Times New Roman" w:hAnsi="Times New Roman" w:cs="Times New Roman"/>
                <w:szCs w:val="24"/>
              </w:rPr>
            </w:pPr>
          </w:p>
        </w:tc>
        <w:tc>
          <w:tcPr>
            <w:tcW w:w="3367" w:type="pct"/>
            <w:gridSpan w:val="6"/>
            <w:tcBorders>
              <w:top w:val="single" w:sz="4" w:space="0" w:color="auto"/>
              <w:left w:val="nil"/>
              <w:right w:val="nil"/>
            </w:tcBorders>
          </w:tcPr>
          <w:p w14:paraId="60FF4555"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Annual change in health spending &lt;0 = 1</w:t>
            </w:r>
            <w:r w:rsidR="00A50D41" w:rsidRPr="00A50D41">
              <w:rPr>
                <w:rFonts w:ascii="Times New Roman" w:hAnsi="Times New Roman" w:cs="Times New Roman"/>
                <w:szCs w:val="24"/>
                <w:vertAlign w:val="superscript"/>
              </w:rPr>
              <w:t>†</w:t>
            </w:r>
          </w:p>
        </w:tc>
      </w:tr>
      <w:tr w:rsidR="004858B6" w:rsidRPr="00A04F75" w14:paraId="63CA187F" w14:textId="77777777" w:rsidTr="004858B6">
        <w:tc>
          <w:tcPr>
            <w:tcW w:w="1633" w:type="pct"/>
            <w:tcBorders>
              <w:left w:val="nil"/>
              <w:bottom w:val="nil"/>
              <w:right w:val="nil"/>
            </w:tcBorders>
          </w:tcPr>
          <w:p w14:paraId="59388DF6" w14:textId="77777777" w:rsidR="004858B6" w:rsidRPr="00A04F75" w:rsidRDefault="004858B6" w:rsidP="004858B6">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Covariates</w:t>
            </w:r>
          </w:p>
        </w:tc>
        <w:tc>
          <w:tcPr>
            <w:tcW w:w="560" w:type="pct"/>
            <w:tcBorders>
              <w:left w:val="nil"/>
              <w:bottom w:val="nil"/>
              <w:right w:val="nil"/>
            </w:tcBorders>
          </w:tcPr>
          <w:p w14:paraId="69AB0B07"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w:t>
            </w:r>
          </w:p>
        </w:tc>
        <w:tc>
          <w:tcPr>
            <w:tcW w:w="560" w:type="pct"/>
            <w:tcBorders>
              <w:left w:val="nil"/>
              <w:bottom w:val="nil"/>
              <w:right w:val="nil"/>
            </w:tcBorders>
          </w:tcPr>
          <w:p w14:paraId="61D304A0"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w:t>
            </w:r>
          </w:p>
        </w:tc>
        <w:tc>
          <w:tcPr>
            <w:tcW w:w="560" w:type="pct"/>
            <w:tcBorders>
              <w:left w:val="nil"/>
              <w:bottom w:val="nil"/>
              <w:right w:val="nil"/>
            </w:tcBorders>
          </w:tcPr>
          <w:p w14:paraId="77655C57"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w:t>
            </w:r>
          </w:p>
        </w:tc>
        <w:tc>
          <w:tcPr>
            <w:tcW w:w="560" w:type="pct"/>
            <w:tcBorders>
              <w:left w:val="nil"/>
              <w:bottom w:val="nil"/>
              <w:right w:val="nil"/>
            </w:tcBorders>
          </w:tcPr>
          <w:p w14:paraId="06947D3B"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(4)</w:t>
            </w:r>
          </w:p>
        </w:tc>
        <w:tc>
          <w:tcPr>
            <w:tcW w:w="557" w:type="pct"/>
            <w:tcBorders>
              <w:left w:val="nil"/>
              <w:bottom w:val="nil"/>
              <w:right w:val="nil"/>
            </w:tcBorders>
          </w:tcPr>
          <w:p w14:paraId="0994EB39"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(5)</w:t>
            </w:r>
          </w:p>
        </w:tc>
        <w:tc>
          <w:tcPr>
            <w:tcW w:w="570" w:type="pct"/>
            <w:tcBorders>
              <w:left w:val="nil"/>
              <w:bottom w:val="nil"/>
              <w:right w:val="nil"/>
            </w:tcBorders>
          </w:tcPr>
          <w:p w14:paraId="31109252"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(6)</w:t>
            </w:r>
          </w:p>
        </w:tc>
      </w:tr>
      <w:tr w:rsidR="00D41F59" w:rsidRPr="00A04F75" w14:paraId="4C552BB1" w14:textId="77777777" w:rsidTr="004858B6">
        <w:tc>
          <w:tcPr>
            <w:tcW w:w="1633" w:type="pct"/>
            <w:vMerge w:val="restart"/>
            <w:tcBorders>
              <w:top w:val="single" w:sz="4" w:space="0" w:color="auto"/>
              <w:left w:val="nil"/>
              <w:right w:val="nil"/>
            </w:tcBorders>
          </w:tcPr>
          <w:p w14:paraId="5B1AAFA1" w14:textId="77777777" w:rsidR="00D41F59" w:rsidRPr="00A04F75" w:rsidRDefault="00D41F59" w:rsidP="004858B6">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$10 annual increase in GDP</w:t>
            </w:r>
            <w:r w:rsidRPr="00E26417">
              <w:rPr>
                <w:rFonts w:ascii="Times New Roman" w:hAnsi="Times New Roman" w:cs="Times New Roman"/>
                <w:szCs w:val="24"/>
                <w:vertAlign w:val="superscript"/>
              </w:rPr>
              <w:t>†</w:t>
            </w:r>
            <w:r w:rsidRPr="00A04F75">
              <w:rPr>
                <w:rFonts w:ascii="Times New Roman" w:hAnsi="Times New Roman" w:cs="Times New Roman"/>
                <w:szCs w:val="24"/>
              </w:rPr>
              <w:t xml:space="preserve"> </w:t>
            </w:r>
          </w:p>
        </w:tc>
        <w:tc>
          <w:tcPr>
            <w:tcW w:w="560" w:type="pct"/>
            <w:tcBorders>
              <w:top w:val="single" w:sz="4" w:space="0" w:color="auto"/>
              <w:left w:val="nil"/>
              <w:bottom w:val="nil"/>
              <w:right w:val="nil"/>
            </w:tcBorders>
          </w:tcPr>
          <w:p w14:paraId="29D0981E"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-0.0068</w:t>
            </w:r>
            <w:r w:rsidRPr="00A04F75">
              <w:rPr>
                <w:rFonts w:ascii="Times New Roman" w:hAnsi="Times New Roman" w:cs="Times New Roman"/>
                <w:szCs w:val="24"/>
                <w:vertAlign w:val="superscript"/>
              </w:rPr>
              <w:t>**</w:t>
            </w:r>
          </w:p>
        </w:tc>
        <w:tc>
          <w:tcPr>
            <w:tcW w:w="560" w:type="pct"/>
            <w:tcBorders>
              <w:top w:val="single" w:sz="4" w:space="0" w:color="auto"/>
              <w:left w:val="nil"/>
              <w:bottom w:val="nil"/>
              <w:right w:val="nil"/>
            </w:tcBorders>
          </w:tcPr>
          <w:p w14:paraId="42688E91"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-0.0064</w:t>
            </w:r>
            <w:r w:rsidRPr="00A04F75">
              <w:rPr>
                <w:rFonts w:ascii="Times New Roman" w:hAnsi="Times New Roman" w:cs="Times New Roman"/>
                <w:szCs w:val="24"/>
                <w:vertAlign w:val="superscript"/>
              </w:rPr>
              <w:t>**</w:t>
            </w:r>
          </w:p>
        </w:tc>
        <w:tc>
          <w:tcPr>
            <w:tcW w:w="560" w:type="pct"/>
            <w:tcBorders>
              <w:top w:val="single" w:sz="4" w:space="0" w:color="auto"/>
              <w:left w:val="nil"/>
              <w:bottom w:val="nil"/>
              <w:right w:val="nil"/>
            </w:tcBorders>
          </w:tcPr>
          <w:p w14:paraId="4032181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-0.0068</w:t>
            </w:r>
            <w:r w:rsidRPr="00A04F75">
              <w:rPr>
                <w:rFonts w:ascii="Times New Roman" w:hAnsi="Times New Roman" w:cs="Times New Roman"/>
                <w:szCs w:val="24"/>
                <w:vertAlign w:val="superscript"/>
              </w:rPr>
              <w:t>**</w:t>
            </w:r>
          </w:p>
        </w:tc>
        <w:tc>
          <w:tcPr>
            <w:tcW w:w="560" w:type="pct"/>
            <w:tcBorders>
              <w:top w:val="single" w:sz="4" w:space="0" w:color="auto"/>
              <w:left w:val="nil"/>
              <w:bottom w:val="nil"/>
              <w:right w:val="nil"/>
            </w:tcBorders>
          </w:tcPr>
          <w:p w14:paraId="5CD2BB70"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-0.0052</w:t>
            </w:r>
            <w:r w:rsidRPr="00A04F75">
              <w:rPr>
                <w:rFonts w:ascii="Times New Roman" w:hAnsi="Times New Roman" w:cs="Times New Roman"/>
                <w:szCs w:val="24"/>
                <w:vertAlign w:val="superscript"/>
              </w:rPr>
              <w:t>**</w:t>
            </w:r>
          </w:p>
        </w:tc>
        <w:tc>
          <w:tcPr>
            <w:tcW w:w="557" w:type="pct"/>
            <w:tcBorders>
              <w:top w:val="single" w:sz="4" w:space="0" w:color="auto"/>
              <w:left w:val="nil"/>
              <w:bottom w:val="nil"/>
              <w:right w:val="nil"/>
            </w:tcBorders>
          </w:tcPr>
          <w:p w14:paraId="1B6DA16A"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-0.0052</w:t>
            </w:r>
            <w:r w:rsidRPr="00A04F75">
              <w:rPr>
                <w:rFonts w:ascii="Times New Roman" w:hAnsi="Times New Roman" w:cs="Times New Roman"/>
                <w:szCs w:val="24"/>
                <w:vertAlign w:val="superscript"/>
              </w:rPr>
              <w:t>**</w:t>
            </w:r>
          </w:p>
        </w:tc>
        <w:tc>
          <w:tcPr>
            <w:tcW w:w="570" w:type="pct"/>
            <w:tcBorders>
              <w:top w:val="single" w:sz="4" w:space="0" w:color="auto"/>
              <w:left w:val="nil"/>
              <w:bottom w:val="nil"/>
              <w:right w:val="nil"/>
            </w:tcBorders>
          </w:tcPr>
          <w:p w14:paraId="57D61E4C"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-0.0036</w:t>
            </w:r>
            <w:r w:rsidRPr="00A04F75">
              <w:rPr>
                <w:rFonts w:ascii="Times New Roman" w:hAnsi="Times New Roman" w:cs="Times New Roman"/>
                <w:szCs w:val="24"/>
                <w:vertAlign w:val="superscript"/>
              </w:rPr>
              <w:t>*</w:t>
            </w:r>
          </w:p>
        </w:tc>
      </w:tr>
      <w:tr w:rsidR="00D41F59" w:rsidRPr="00A04F75" w14:paraId="3411824F" w14:textId="77777777" w:rsidTr="004858B6">
        <w:tc>
          <w:tcPr>
            <w:tcW w:w="1633" w:type="pct"/>
            <w:vMerge/>
            <w:tcBorders>
              <w:left w:val="nil"/>
              <w:right w:val="nil"/>
            </w:tcBorders>
          </w:tcPr>
          <w:p w14:paraId="7A79F638"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3E7C924"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(0.0015)</w:t>
            </w:r>
          </w:p>
        </w:tc>
        <w:tc>
          <w:tcPr>
            <w:tcW w:w="560" w:type="pct"/>
            <w:tcBorders>
              <w:top w:val="nil"/>
              <w:left w:val="nil"/>
              <w:bottom w:val="nil"/>
              <w:right w:val="nil"/>
            </w:tcBorders>
          </w:tcPr>
          <w:p w14:paraId="5E1C3B39"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(0.0015)</w:t>
            </w:r>
          </w:p>
        </w:tc>
        <w:tc>
          <w:tcPr>
            <w:tcW w:w="560" w:type="pct"/>
            <w:tcBorders>
              <w:top w:val="nil"/>
              <w:left w:val="nil"/>
              <w:bottom w:val="nil"/>
              <w:right w:val="nil"/>
            </w:tcBorders>
          </w:tcPr>
          <w:p w14:paraId="7C18EF0B"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(0.0016)</w:t>
            </w:r>
          </w:p>
        </w:tc>
        <w:tc>
          <w:tcPr>
            <w:tcW w:w="560" w:type="pct"/>
            <w:tcBorders>
              <w:top w:val="nil"/>
              <w:left w:val="nil"/>
              <w:bottom w:val="nil"/>
              <w:right w:val="nil"/>
            </w:tcBorders>
          </w:tcPr>
          <w:p w14:paraId="63976411"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(0.0017)</w:t>
            </w:r>
          </w:p>
        </w:tc>
        <w:tc>
          <w:tcPr>
            <w:tcW w:w="557" w:type="pct"/>
            <w:tcBorders>
              <w:top w:val="nil"/>
              <w:left w:val="nil"/>
              <w:bottom w:val="nil"/>
              <w:right w:val="nil"/>
            </w:tcBorders>
          </w:tcPr>
          <w:p w14:paraId="41E6CFBF"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(0.0017)</w:t>
            </w:r>
          </w:p>
        </w:tc>
        <w:tc>
          <w:tcPr>
            <w:tcW w:w="570" w:type="pct"/>
            <w:tcBorders>
              <w:top w:val="nil"/>
              <w:left w:val="nil"/>
              <w:bottom w:val="nil"/>
              <w:right w:val="nil"/>
            </w:tcBorders>
          </w:tcPr>
          <w:p w14:paraId="4EBC979F"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(0.0018)</w:t>
            </w:r>
          </w:p>
        </w:tc>
      </w:tr>
      <w:tr w:rsidR="00D41F59" w:rsidRPr="00A04F75" w14:paraId="1D623643" w14:textId="77777777" w:rsidTr="004858B6">
        <w:tc>
          <w:tcPr>
            <w:tcW w:w="1633" w:type="pct"/>
            <w:vMerge/>
            <w:tcBorders>
              <w:left w:val="nil"/>
              <w:bottom w:val="nil"/>
              <w:right w:val="nil"/>
            </w:tcBorders>
          </w:tcPr>
          <w:p w14:paraId="1EC0D87C"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73DC0F8"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720E593"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4141F6E"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23068F70"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4DB9724F"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5E632A7F"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r>
      <w:tr w:rsidR="00D41F59" w:rsidRPr="00A04F75" w14:paraId="37935B53" w14:textId="77777777" w:rsidTr="004858B6">
        <w:tc>
          <w:tcPr>
            <w:tcW w:w="1633" w:type="pct"/>
            <w:vMerge w:val="restart"/>
            <w:tcBorders>
              <w:top w:val="nil"/>
              <w:left w:val="nil"/>
              <w:right w:val="nil"/>
            </w:tcBorders>
          </w:tcPr>
          <w:p w14:paraId="5BC85FEF" w14:textId="77777777" w:rsidR="00D41F59" w:rsidRPr="00A04F75" w:rsidRDefault="00D41F59" w:rsidP="004858B6">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$100 </w:t>
            </w:r>
            <w:r>
              <w:rPr>
                <w:rFonts w:ascii="Times New Roman" w:hAnsi="Times New Roman" w:cs="Times New Roman"/>
                <w:szCs w:val="24"/>
              </w:rPr>
              <w:t xml:space="preserve">annual </w:t>
            </w:r>
            <w:r w:rsidRPr="00A04F75">
              <w:rPr>
                <w:rFonts w:ascii="Times New Roman" w:hAnsi="Times New Roman" w:cs="Times New Roman"/>
                <w:szCs w:val="24"/>
              </w:rPr>
              <w:t>increa</w:t>
            </w:r>
            <w:r>
              <w:rPr>
                <w:rFonts w:ascii="Times New Roman" w:hAnsi="Times New Roman" w:cs="Times New Roman"/>
                <w:szCs w:val="24"/>
              </w:rPr>
              <w:t>se in t</w:t>
            </w:r>
            <w:r w:rsidRPr="00A04F75">
              <w:rPr>
                <w:rFonts w:ascii="Times New Roman" w:hAnsi="Times New Roman" w:cs="Times New Roman"/>
                <w:szCs w:val="24"/>
              </w:rPr>
              <w:t>ax revenue</w:t>
            </w:r>
            <w:r w:rsidRPr="00E26417">
              <w:rPr>
                <w:rFonts w:ascii="Times New Roman" w:hAnsi="Times New Roman" w:cs="Times New Roman"/>
                <w:szCs w:val="24"/>
                <w:vertAlign w:val="superscript"/>
              </w:rPr>
              <w:t>†</w:t>
            </w:r>
          </w:p>
        </w:tc>
        <w:tc>
          <w:tcPr>
            <w:tcW w:w="560" w:type="pct"/>
            <w:tcBorders>
              <w:top w:val="nil"/>
              <w:left w:val="nil"/>
              <w:bottom w:val="nil"/>
              <w:right w:val="nil"/>
            </w:tcBorders>
          </w:tcPr>
          <w:p w14:paraId="31154B7C"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8FDB0F6"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-0.087</w:t>
            </w:r>
            <w:r w:rsidRPr="00A04F75">
              <w:rPr>
                <w:rFonts w:ascii="Times New Roman" w:hAnsi="Times New Roman" w:cs="Times New Roman"/>
                <w:szCs w:val="24"/>
                <w:vertAlign w:val="superscript"/>
              </w:rPr>
              <w:t>**</w:t>
            </w:r>
          </w:p>
        </w:tc>
        <w:tc>
          <w:tcPr>
            <w:tcW w:w="560" w:type="pct"/>
            <w:tcBorders>
              <w:top w:val="nil"/>
              <w:left w:val="nil"/>
              <w:bottom w:val="nil"/>
              <w:right w:val="nil"/>
            </w:tcBorders>
          </w:tcPr>
          <w:p w14:paraId="577A89D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-0.085</w:t>
            </w:r>
            <w:r w:rsidRPr="00A04F75">
              <w:rPr>
                <w:rFonts w:ascii="Times New Roman" w:hAnsi="Times New Roman" w:cs="Times New Roman"/>
                <w:szCs w:val="24"/>
                <w:vertAlign w:val="superscript"/>
              </w:rPr>
              <w:t>**</w:t>
            </w:r>
          </w:p>
        </w:tc>
        <w:tc>
          <w:tcPr>
            <w:tcW w:w="560" w:type="pct"/>
            <w:tcBorders>
              <w:top w:val="nil"/>
              <w:left w:val="nil"/>
              <w:bottom w:val="nil"/>
              <w:right w:val="nil"/>
            </w:tcBorders>
          </w:tcPr>
          <w:p w14:paraId="1306A0A0"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-0.084</w:t>
            </w:r>
            <w:r w:rsidRPr="00A04F75">
              <w:rPr>
                <w:rFonts w:ascii="Times New Roman" w:hAnsi="Times New Roman" w:cs="Times New Roman"/>
                <w:szCs w:val="24"/>
                <w:vertAlign w:val="superscript"/>
              </w:rPr>
              <w:t>*</w:t>
            </w:r>
          </w:p>
        </w:tc>
        <w:tc>
          <w:tcPr>
            <w:tcW w:w="557" w:type="pct"/>
            <w:tcBorders>
              <w:top w:val="nil"/>
              <w:left w:val="nil"/>
              <w:bottom w:val="nil"/>
              <w:right w:val="nil"/>
            </w:tcBorders>
          </w:tcPr>
          <w:p w14:paraId="004CD15A"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-0.085</w:t>
            </w:r>
            <w:r w:rsidRPr="00A04F75">
              <w:rPr>
                <w:rFonts w:ascii="Times New Roman" w:hAnsi="Times New Roman" w:cs="Times New Roman"/>
                <w:szCs w:val="24"/>
                <w:vertAlign w:val="superscript"/>
              </w:rPr>
              <w:t>*</w:t>
            </w:r>
          </w:p>
        </w:tc>
        <w:tc>
          <w:tcPr>
            <w:tcW w:w="570" w:type="pct"/>
            <w:tcBorders>
              <w:top w:val="nil"/>
              <w:left w:val="nil"/>
              <w:bottom w:val="nil"/>
              <w:right w:val="nil"/>
            </w:tcBorders>
          </w:tcPr>
          <w:p w14:paraId="1E081827"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-0.070</w:t>
            </w:r>
            <w:r w:rsidRPr="00A04F75">
              <w:rPr>
                <w:rFonts w:ascii="Times New Roman" w:hAnsi="Times New Roman" w:cs="Times New Roman"/>
                <w:szCs w:val="24"/>
                <w:vertAlign w:val="superscript"/>
              </w:rPr>
              <w:t>*</w:t>
            </w:r>
          </w:p>
        </w:tc>
      </w:tr>
      <w:tr w:rsidR="00D41F59" w:rsidRPr="00A04F75" w14:paraId="0085E08C" w14:textId="77777777" w:rsidTr="004858B6">
        <w:tc>
          <w:tcPr>
            <w:tcW w:w="1633" w:type="pct"/>
            <w:vMerge/>
            <w:tcBorders>
              <w:left w:val="nil"/>
              <w:bottom w:val="nil"/>
              <w:right w:val="nil"/>
            </w:tcBorders>
          </w:tcPr>
          <w:p w14:paraId="2B234822"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393170C"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CE7E0E8"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(0.028)</w:t>
            </w:r>
          </w:p>
        </w:tc>
        <w:tc>
          <w:tcPr>
            <w:tcW w:w="560" w:type="pct"/>
            <w:tcBorders>
              <w:top w:val="nil"/>
              <w:left w:val="nil"/>
              <w:bottom w:val="nil"/>
              <w:right w:val="nil"/>
            </w:tcBorders>
          </w:tcPr>
          <w:p w14:paraId="26ABEAF1"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(0.030)</w:t>
            </w:r>
          </w:p>
        </w:tc>
        <w:tc>
          <w:tcPr>
            <w:tcW w:w="560" w:type="pct"/>
            <w:tcBorders>
              <w:top w:val="nil"/>
              <w:left w:val="nil"/>
              <w:bottom w:val="nil"/>
              <w:right w:val="nil"/>
            </w:tcBorders>
          </w:tcPr>
          <w:p w14:paraId="2C60DE0B"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(0.033)</w:t>
            </w:r>
          </w:p>
        </w:tc>
        <w:tc>
          <w:tcPr>
            <w:tcW w:w="557" w:type="pct"/>
            <w:tcBorders>
              <w:top w:val="nil"/>
              <w:left w:val="nil"/>
              <w:bottom w:val="nil"/>
              <w:right w:val="nil"/>
            </w:tcBorders>
          </w:tcPr>
          <w:p w14:paraId="1B33123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(0.033)</w:t>
            </w:r>
          </w:p>
        </w:tc>
        <w:tc>
          <w:tcPr>
            <w:tcW w:w="570" w:type="pct"/>
            <w:tcBorders>
              <w:top w:val="nil"/>
              <w:left w:val="nil"/>
              <w:bottom w:val="nil"/>
              <w:right w:val="nil"/>
            </w:tcBorders>
          </w:tcPr>
          <w:p w14:paraId="114E364D"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(0.034)</w:t>
            </w:r>
          </w:p>
        </w:tc>
      </w:tr>
      <w:tr w:rsidR="00D41F59" w:rsidRPr="00A04F75" w14:paraId="4A0B8C74" w14:textId="77777777" w:rsidTr="004858B6">
        <w:tc>
          <w:tcPr>
            <w:tcW w:w="1633" w:type="pct"/>
            <w:tcBorders>
              <w:top w:val="nil"/>
              <w:left w:val="nil"/>
              <w:bottom w:val="nil"/>
              <w:right w:val="nil"/>
            </w:tcBorders>
          </w:tcPr>
          <w:p w14:paraId="2B0413A8"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672E1BB"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04AB624"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D3A2DCA"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BFB6663"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5693D328"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001894A7"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r>
      <w:tr w:rsidR="00D41F59" w:rsidRPr="00A04F75" w14:paraId="35A16131" w14:textId="77777777" w:rsidTr="00652675">
        <w:tc>
          <w:tcPr>
            <w:tcW w:w="1633" w:type="pct"/>
            <w:vMerge w:val="restart"/>
            <w:tcBorders>
              <w:top w:val="nil"/>
              <w:left w:val="nil"/>
              <w:right w:val="nil"/>
            </w:tcBorders>
          </w:tcPr>
          <w:p w14:paraId="38182A6A" w14:textId="77777777" w:rsidR="00D41F59" w:rsidRPr="00A04F75" w:rsidRDefault="00D41F59" w:rsidP="004858B6">
            <w:pPr>
              <w:widowControl w:val="0"/>
              <w:autoSpaceDE w:val="0"/>
              <w:autoSpaceDN w:val="0"/>
              <w:adjustRightInd w:val="0"/>
              <w:rPr>
                <w:rFonts w:ascii="Times New Roman" w:hAnsi="Times New Roman" w:cs="Times New Roman"/>
                <w:szCs w:val="24"/>
              </w:rPr>
            </w:pPr>
            <w:r>
              <w:rPr>
                <w:rFonts w:ascii="Times New Roman" w:hAnsi="Times New Roman" w:cs="Times New Roman"/>
                <w:szCs w:val="24"/>
              </w:rPr>
              <w:t>Public debt as percentage of GDP in the previous year</w:t>
            </w:r>
          </w:p>
        </w:tc>
        <w:tc>
          <w:tcPr>
            <w:tcW w:w="560" w:type="pct"/>
            <w:tcBorders>
              <w:top w:val="nil"/>
              <w:left w:val="nil"/>
              <w:bottom w:val="nil"/>
              <w:right w:val="nil"/>
            </w:tcBorders>
          </w:tcPr>
          <w:p w14:paraId="121FF7AE"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F6D9983"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AA7257B"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0.041</w:t>
            </w:r>
            <w:r w:rsidRPr="00A04F75">
              <w:rPr>
                <w:rFonts w:ascii="Times New Roman" w:hAnsi="Times New Roman" w:cs="Times New Roman"/>
                <w:szCs w:val="24"/>
                <w:vertAlign w:val="superscript"/>
              </w:rPr>
              <w:t>**</w:t>
            </w:r>
          </w:p>
        </w:tc>
        <w:tc>
          <w:tcPr>
            <w:tcW w:w="560" w:type="pct"/>
            <w:tcBorders>
              <w:top w:val="nil"/>
              <w:left w:val="nil"/>
              <w:bottom w:val="nil"/>
              <w:right w:val="nil"/>
            </w:tcBorders>
          </w:tcPr>
          <w:p w14:paraId="5955D94A"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0.035</w:t>
            </w:r>
            <w:r w:rsidRPr="00A04F75">
              <w:rPr>
                <w:rFonts w:ascii="Times New Roman" w:hAnsi="Times New Roman" w:cs="Times New Roman"/>
                <w:szCs w:val="24"/>
                <w:vertAlign w:val="superscript"/>
              </w:rPr>
              <w:t>**</w:t>
            </w:r>
          </w:p>
        </w:tc>
        <w:tc>
          <w:tcPr>
            <w:tcW w:w="557" w:type="pct"/>
            <w:tcBorders>
              <w:top w:val="nil"/>
              <w:left w:val="nil"/>
              <w:bottom w:val="nil"/>
              <w:right w:val="nil"/>
            </w:tcBorders>
          </w:tcPr>
          <w:p w14:paraId="4D7DE484"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0.036</w:t>
            </w:r>
            <w:r w:rsidRPr="00A04F75">
              <w:rPr>
                <w:rFonts w:ascii="Times New Roman" w:hAnsi="Times New Roman" w:cs="Times New Roman"/>
                <w:szCs w:val="24"/>
                <w:vertAlign w:val="superscript"/>
              </w:rPr>
              <w:t>*</w:t>
            </w:r>
          </w:p>
        </w:tc>
        <w:tc>
          <w:tcPr>
            <w:tcW w:w="570" w:type="pct"/>
            <w:tcBorders>
              <w:top w:val="nil"/>
              <w:left w:val="nil"/>
              <w:bottom w:val="nil"/>
              <w:right w:val="nil"/>
            </w:tcBorders>
          </w:tcPr>
          <w:p w14:paraId="71B486B9"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0.052</w:t>
            </w:r>
            <w:r w:rsidRPr="00A04F75">
              <w:rPr>
                <w:rFonts w:ascii="Times New Roman" w:hAnsi="Times New Roman" w:cs="Times New Roman"/>
                <w:szCs w:val="24"/>
                <w:vertAlign w:val="superscript"/>
              </w:rPr>
              <w:t>**</w:t>
            </w:r>
          </w:p>
        </w:tc>
      </w:tr>
      <w:tr w:rsidR="00D41F59" w:rsidRPr="00A04F75" w14:paraId="1C2FE43E" w14:textId="77777777" w:rsidTr="00652675">
        <w:tc>
          <w:tcPr>
            <w:tcW w:w="1633" w:type="pct"/>
            <w:vMerge/>
            <w:tcBorders>
              <w:left w:val="nil"/>
              <w:bottom w:val="nil"/>
              <w:right w:val="nil"/>
            </w:tcBorders>
          </w:tcPr>
          <w:p w14:paraId="0B1A638E"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E69EE6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0EB47D3"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D2F26CC"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(0.012)</w:t>
            </w:r>
          </w:p>
        </w:tc>
        <w:tc>
          <w:tcPr>
            <w:tcW w:w="560" w:type="pct"/>
            <w:tcBorders>
              <w:top w:val="nil"/>
              <w:left w:val="nil"/>
              <w:bottom w:val="nil"/>
              <w:right w:val="nil"/>
            </w:tcBorders>
          </w:tcPr>
          <w:p w14:paraId="04F01BFB"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(0.013)</w:t>
            </w:r>
          </w:p>
        </w:tc>
        <w:tc>
          <w:tcPr>
            <w:tcW w:w="557" w:type="pct"/>
            <w:tcBorders>
              <w:top w:val="nil"/>
              <w:left w:val="nil"/>
              <w:bottom w:val="nil"/>
              <w:right w:val="nil"/>
            </w:tcBorders>
          </w:tcPr>
          <w:p w14:paraId="0A6E24AF"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(0.014)</w:t>
            </w:r>
          </w:p>
        </w:tc>
        <w:tc>
          <w:tcPr>
            <w:tcW w:w="570" w:type="pct"/>
            <w:tcBorders>
              <w:top w:val="nil"/>
              <w:left w:val="nil"/>
              <w:bottom w:val="nil"/>
              <w:right w:val="nil"/>
            </w:tcBorders>
          </w:tcPr>
          <w:p w14:paraId="3E81FF67"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(0.017)</w:t>
            </w:r>
          </w:p>
        </w:tc>
      </w:tr>
      <w:tr w:rsidR="00D41F59" w:rsidRPr="00A04F75" w14:paraId="08B6ED46" w14:textId="77777777" w:rsidTr="004858B6">
        <w:tc>
          <w:tcPr>
            <w:tcW w:w="1633" w:type="pct"/>
            <w:tcBorders>
              <w:top w:val="nil"/>
              <w:left w:val="nil"/>
              <w:bottom w:val="nil"/>
              <w:right w:val="nil"/>
            </w:tcBorders>
          </w:tcPr>
          <w:p w14:paraId="7453DF7C"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0B18464"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530E358"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F8E79D6"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7E502E7"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47AD0AA5"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547E34A8"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r>
      <w:tr w:rsidR="00D41F59" w:rsidRPr="00A04F75" w14:paraId="3BCAAA92" w14:textId="77777777" w:rsidTr="004858B6">
        <w:tc>
          <w:tcPr>
            <w:tcW w:w="1633" w:type="pct"/>
            <w:tcBorders>
              <w:top w:val="nil"/>
              <w:left w:val="nil"/>
              <w:bottom w:val="nil"/>
              <w:right w:val="nil"/>
            </w:tcBorders>
          </w:tcPr>
          <w:p w14:paraId="6CB93A8B" w14:textId="77777777" w:rsidR="00D41F59" w:rsidRPr="00A04F75" w:rsidRDefault="00D41F59" w:rsidP="004858B6">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Implemented austerity in </w:t>
            </w:r>
            <w:r>
              <w:rPr>
                <w:rFonts w:ascii="Times New Roman" w:hAnsi="Times New Roman" w:cs="Times New Roman"/>
                <w:szCs w:val="24"/>
              </w:rPr>
              <w:t>current year</w:t>
            </w:r>
          </w:p>
        </w:tc>
        <w:tc>
          <w:tcPr>
            <w:tcW w:w="560" w:type="pct"/>
            <w:tcBorders>
              <w:top w:val="nil"/>
              <w:left w:val="nil"/>
              <w:bottom w:val="nil"/>
              <w:right w:val="nil"/>
            </w:tcBorders>
          </w:tcPr>
          <w:p w14:paraId="1907D578"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C95108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DA7936F"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00CFF05B"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1.77</w:t>
            </w:r>
            <w:r w:rsidRPr="00A04F75">
              <w:rPr>
                <w:rFonts w:ascii="Times New Roman" w:hAnsi="Times New Roman" w:cs="Times New Roman"/>
                <w:szCs w:val="24"/>
                <w:vertAlign w:val="superscript"/>
              </w:rPr>
              <w:t>**</w:t>
            </w:r>
          </w:p>
        </w:tc>
        <w:tc>
          <w:tcPr>
            <w:tcW w:w="557" w:type="pct"/>
            <w:tcBorders>
              <w:top w:val="nil"/>
              <w:left w:val="nil"/>
              <w:bottom w:val="nil"/>
              <w:right w:val="nil"/>
            </w:tcBorders>
          </w:tcPr>
          <w:p w14:paraId="44447D2B"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1.76</w:t>
            </w:r>
            <w:r w:rsidRPr="00A04F75">
              <w:rPr>
                <w:rFonts w:ascii="Times New Roman" w:hAnsi="Times New Roman" w:cs="Times New Roman"/>
                <w:szCs w:val="24"/>
                <w:vertAlign w:val="superscript"/>
              </w:rPr>
              <w:t>**</w:t>
            </w:r>
          </w:p>
        </w:tc>
        <w:tc>
          <w:tcPr>
            <w:tcW w:w="570" w:type="pct"/>
            <w:tcBorders>
              <w:top w:val="nil"/>
              <w:left w:val="nil"/>
              <w:bottom w:val="nil"/>
              <w:right w:val="nil"/>
            </w:tcBorders>
          </w:tcPr>
          <w:p w14:paraId="1282B79D"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1.87</w:t>
            </w:r>
            <w:r w:rsidRPr="00A04F75">
              <w:rPr>
                <w:rFonts w:ascii="Times New Roman" w:hAnsi="Times New Roman" w:cs="Times New Roman"/>
                <w:szCs w:val="24"/>
                <w:vertAlign w:val="superscript"/>
              </w:rPr>
              <w:t>**</w:t>
            </w:r>
          </w:p>
        </w:tc>
      </w:tr>
      <w:tr w:rsidR="00D41F59" w:rsidRPr="00A04F75" w14:paraId="24404533" w14:textId="77777777" w:rsidTr="004858B6">
        <w:tc>
          <w:tcPr>
            <w:tcW w:w="1633" w:type="pct"/>
            <w:tcBorders>
              <w:top w:val="nil"/>
              <w:left w:val="nil"/>
              <w:bottom w:val="nil"/>
              <w:right w:val="nil"/>
            </w:tcBorders>
          </w:tcPr>
          <w:p w14:paraId="68FE8724"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079363B2"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C64618E"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1FF5FC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D0A0AF0"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(0.29)</w:t>
            </w:r>
          </w:p>
        </w:tc>
        <w:tc>
          <w:tcPr>
            <w:tcW w:w="557" w:type="pct"/>
            <w:tcBorders>
              <w:top w:val="nil"/>
              <w:left w:val="nil"/>
              <w:bottom w:val="nil"/>
              <w:right w:val="nil"/>
            </w:tcBorders>
          </w:tcPr>
          <w:p w14:paraId="35529B7D"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(0.29)</w:t>
            </w:r>
          </w:p>
        </w:tc>
        <w:tc>
          <w:tcPr>
            <w:tcW w:w="570" w:type="pct"/>
            <w:tcBorders>
              <w:top w:val="nil"/>
              <w:left w:val="nil"/>
              <w:bottom w:val="nil"/>
              <w:right w:val="nil"/>
            </w:tcBorders>
          </w:tcPr>
          <w:p w14:paraId="3D23DF74"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(0.33)</w:t>
            </w:r>
          </w:p>
        </w:tc>
      </w:tr>
      <w:tr w:rsidR="00D41F59" w:rsidRPr="00A04F75" w14:paraId="269049E8" w14:textId="77777777" w:rsidTr="004858B6">
        <w:tc>
          <w:tcPr>
            <w:tcW w:w="1633" w:type="pct"/>
            <w:tcBorders>
              <w:top w:val="nil"/>
              <w:left w:val="nil"/>
              <w:bottom w:val="nil"/>
              <w:right w:val="nil"/>
            </w:tcBorders>
          </w:tcPr>
          <w:p w14:paraId="50AB8A1F"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FDEA3DF"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B418F54"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D248A3F"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DD848C3"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0D6C2B52"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09C6B166"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r>
      <w:tr w:rsidR="00D41F59" w:rsidRPr="00A04F75" w14:paraId="5D3589B4" w14:textId="77777777" w:rsidTr="004858B6">
        <w:tc>
          <w:tcPr>
            <w:tcW w:w="1633" w:type="pct"/>
            <w:tcBorders>
              <w:top w:val="nil"/>
              <w:left w:val="nil"/>
              <w:bottom w:val="nil"/>
              <w:right w:val="nil"/>
            </w:tcBorders>
          </w:tcPr>
          <w:p w14:paraId="0870176F" w14:textId="77777777" w:rsidR="00D41F59" w:rsidRPr="00A04F75" w:rsidRDefault="00D41F59" w:rsidP="004858B6">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 xml:space="preserve">IMF bailout active in </w:t>
            </w:r>
            <w:r>
              <w:rPr>
                <w:rFonts w:ascii="Times New Roman" w:hAnsi="Times New Roman" w:cs="Times New Roman"/>
                <w:szCs w:val="24"/>
              </w:rPr>
              <w:t>current year</w:t>
            </w:r>
            <w:r w:rsidRPr="00A04F75">
              <w:rPr>
                <w:rFonts w:ascii="Times New Roman" w:hAnsi="Times New Roman" w:cs="Times New Roman"/>
                <w:szCs w:val="24"/>
              </w:rPr>
              <w:t xml:space="preserve"> </w:t>
            </w:r>
          </w:p>
        </w:tc>
        <w:tc>
          <w:tcPr>
            <w:tcW w:w="560" w:type="pct"/>
            <w:tcBorders>
              <w:top w:val="nil"/>
              <w:left w:val="nil"/>
              <w:bottom w:val="nil"/>
              <w:right w:val="nil"/>
            </w:tcBorders>
          </w:tcPr>
          <w:p w14:paraId="4F3FC21C"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C067C4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FDA4392"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35F3671"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26B87760"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-0.11</w:t>
            </w:r>
          </w:p>
        </w:tc>
        <w:tc>
          <w:tcPr>
            <w:tcW w:w="570" w:type="pct"/>
            <w:tcBorders>
              <w:top w:val="nil"/>
              <w:left w:val="nil"/>
              <w:bottom w:val="nil"/>
              <w:right w:val="nil"/>
            </w:tcBorders>
          </w:tcPr>
          <w:p w14:paraId="0DC86E20"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-0.33</w:t>
            </w:r>
          </w:p>
        </w:tc>
      </w:tr>
      <w:tr w:rsidR="00D41F59" w:rsidRPr="00A04F75" w14:paraId="1D929E12" w14:textId="77777777" w:rsidTr="004858B6">
        <w:tc>
          <w:tcPr>
            <w:tcW w:w="1633" w:type="pct"/>
            <w:tcBorders>
              <w:top w:val="nil"/>
              <w:left w:val="nil"/>
              <w:bottom w:val="nil"/>
              <w:right w:val="nil"/>
            </w:tcBorders>
          </w:tcPr>
          <w:p w14:paraId="69F0B48D"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24B7038"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31CFCDF"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A1DB96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615E5558"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7AFD025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(0.56)</w:t>
            </w:r>
          </w:p>
        </w:tc>
        <w:tc>
          <w:tcPr>
            <w:tcW w:w="570" w:type="pct"/>
            <w:tcBorders>
              <w:top w:val="nil"/>
              <w:left w:val="nil"/>
              <w:bottom w:val="nil"/>
              <w:right w:val="nil"/>
            </w:tcBorders>
          </w:tcPr>
          <w:p w14:paraId="574F7043"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(0.82)</w:t>
            </w:r>
          </w:p>
        </w:tc>
      </w:tr>
      <w:tr w:rsidR="00D41F59" w:rsidRPr="00A04F75" w14:paraId="5D7192DE" w14:textId="77777777" w:rsidTr="004858B6">
        <w:tc>
          <w:tcPr>
            <w:tcW w:w="1633" w:type="pct"/>
            <w:tcBorders>
              <w:top w:val="nil"/>
              <w:left w:val="nil"/>
              <w:bottom w:val="nil"/>
              <w:right w:val="nil"/>
            </w:tcBorders>
          </w:tcPr>
          <w:p w14:paraId="1CC6E950"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5F17490"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B116B43"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64CD6F6"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1CDF6B51"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4224D4FF"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1A0C1AEC"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r>
      <w:tr w:rsidR="00D41F59" w:rsidRPr="00A04F75" w14:paraId="0B624C81" w14:textId="77777777" w:rsidTr="004858B6">
        <w:tc>
          <w:tcPr>
            <w:tcW w:w="1633" w:type="pct"/>
            <w:tcBorders>
              <w:top w:val="nil"/>
              <w:left w:val="nil"/>
              <w:bottom w:val="nil"/>
              <w:right w:val="nil"/>
            </w:tcBorders>
          </w:tcPr>
          <w:p w14:paraId="691C4542" w14:textId="77777777" w:rsidR="00D41F59" w:rsidRPr="00A04F75" w:rsidRDefault="00D41F59" w:rsidP="004858B6">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Left</w:t>
            </w:r>
            <w:r w:rsidR="00633895">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560" w:type="pct"/>
            <w:tcBorders>
              <w:top w:val="nil"/>
              <w:left w:val="nil"/>
              <w:bottom w:val="nil"/>
              <w:right w:val="nil"/>
            </w:tcBorders>
          </w:tcPr>
          <w:p w14:paraId="7C99E36B"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6B67609"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0DAFBFB"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C019550"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23CA02B1"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17D617F8"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0.65</w:t>
            </w:r>
          </w:p>
        </w:tc>
      </w:tr>
      <w:tr w:rsidR="00D41F59" w:rsidRPr="00A04F75" w14:paraId="2D15FD35" w14:textId="77777777" w:rsidTr="004858B6">
        <w:tc>
          <w:tcPr>
            <w:tcW w:w="1633" w:type="pct"/>
            <w:tcBorders>
              <w:top w:val="nil"/>
              <w:left w:val="nil"/>
              <w:bottom w:val="nil"/>
              <w:right w:val="nil"/>
            </w:tcBorders>
          </w:tcPr>
          <w:p w14:paraId="551DA84F"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DCEC86C"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0EBBC64"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5EA70432"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4858D106"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1257AB60"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48562D5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(0.79)</w:t>
            </w:r>
          </w:p>
        </w:tc>
      </w:tr>
      <w:tr w:rsidR="00D41F59" w:rsidRPr="00A04F75" w14:paraId="67F02E88" w14:textId="77777777" w:rsidTr="004858B6">
        <w:tc>
          <w:tcPr>
            <w:tcW w:w="1633" w:type="pct"/>
            <w:tcBorders>
              <w:top w:val="nil"/>
              <w:left w:val="nil"/>
              <w:bottom w:val="nil"/>
              <w:right w:val="nil"/>
            </w:tcBorders>
          </w:tcPr>
          <w:p w14:paraId="3F9FA03D"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9D310A9"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61330EB1"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EC77A55"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45AD0D82"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1AEC0D2B"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6CC1F566" w14:textId="77777777" w:rsidR="00D41F59" w:rsidRPr="00A04F75" w:rsidRDefault="00D41F59" w:rsidP="004858B6">
            <w:pPr>
              <w:widowControl w:val="0"/>
              <w:autoSpaceDE w:val="0"/>
              <w:autoSpaceDN w:val="0"/>
              <w:adjustRightInd w:val="0"/>
              <w:rPr>
                <w:rFonts w:ascii="Times New Roman" w:hAnsi="Times New Roman" w:cs="Times New Roman"/>
                <w:szCs w:val="24"/>
              </w:rPr>
            </w:pPr>
          </w:p>
        </w:tc>
      </w:tr>
      <w:tr w:rsidR="00D41F59" w:rsidRPr="00A04F75" w14:paraId="6E8EB3A8" w14:textId="77777777" w:rsidTr="004858B6">
        <w:tc>
          <w:tcPr>
            <w:tcW w:w="1633" w:type="pct"/>
            <w:tcBorders>
              <w:top w:val="nil"/>
              <w:left w:val="nil"/>
              <w:bottom w:val="nil"/>
              <w:right w:val="nil"/>
            </w:tcBorders>
          </w:tcPr>
          <w:p w14:paraId="04360794" w14:textId="77777777" w:rsidR="00D41F59" w:rsidRPr="00A04F75" w:rsidRDefault="00D41F59" w:rsidP="004858B6">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Right</w:t>
            </w:r>
            <w:r w:rsidR="00633895">
              <w:rPr>
                <w:rFonts w:ascii="Times New Roman" w:hAnsi="Times New Roman" w:cs="Times New Roman"/>
                <w:szCs w:val="24"/>
              </w:rPr>
              <w:t xml:space="preserve"> governing party</w:t>
            </w:r>
            <w:r w:rsidRPr="00A04F75">
              <w:rPr>
                <w:rFonts w:ascii="Times New Roman" w:hAnsi="Times New Roman" w:cs="Times New Roman"/>
                <w:szCs w:val="24"/>
              </w:rPr>
              <w:t>˚</w:t>
            </w:r>
          </w:p>
        </w:tc>
        <w:tc>
          <w:tcPr>
            <w:tcW w:w="560" w:type="pct"/>
            <w:tcBorders>
              <w:top w:val="nil"/>
              <w:left w:val="nil"/>
              <w:bottom w:val="nil"/>
              <w:right w:val="nil"/>
            </w:tcBorders>
          </w:tcPr>
          <w:p w14:paraId="27CD6905"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0E42BDC2"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1768642"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2B095018"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1F527273"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38FD756D" w14:textId="77777777" w:rsidR="00D41F59" w:rsidRPr="00A04F75" w:rsidRDefault="00D41F59"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1.38</w:t>
            </w:r>
          </w:p>
        </w:tc>
      </w:tr>
      <w:tr w:rsidR="004858B6" w:rsidRPr="00A04F75" w14:paraId="1CB196F9" w14:textId="77777777" w:rsidTr="004858B6">
        <w:tc>
          <w:tcPr>
            <w:tcW w:w="1633" w:type="pct"/>
            <w:tcBorders>
              <w:top w:val="nil"/>
              <w:left w:val="nil"/>
              <w:bottom w:val="nil"/>
              <w:right w:val="nil"/>
            </w:tcBorders>
          </w:tcPr>
          <w:p w14:paraId="738F24CC" w14:textId="77777777" w:rsidR="004858B6" w:rsidRPr="00A04F75" w:rsidRDefault="004858B6"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5838E2F"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32F28674"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1D1CE0C4"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p>
        </w:tc>
        <w:tc>
          <w:tcPr>
            <w:tcW w:w="560" w:type="pct"/>
            <w:tcBorders>
              <w:top w:val="nil"/>
              <w:left w:val="nil"/>
              <w:bottom w:val="nil"/>
              <w:right w:val="nil"/>
            </w:tcBorders>
          </w:tcPr>
          <w:p w14:paraId="77E783C2"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p>
        </w:tc>
        <w:tc>
          <w:tcPr>
            <w:tcW w:w="557" w:type="pct"/>
            <w:tcBorders>
              <w:top w:val="nil"/>
              <w:left w:val="nil"/>
              <w:bottom w:val="nil"/>
              <w:right w:val="nil"/>
            </w:tcBorders>
          </w:tcPr>
          <w:p w14:paraId="07B6B166"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p>
        </w:tc>
        <w:tc>
          <w:tcPr>
            <w:tcW w:w="570" w:type="pct"/>
            <w:tcBorders>
              <w:top w:val="nil"/>
              <w:left w:val="nil"/>
              <w:bottom w:val="nil"/>
              <w:right w:val="nil"/>
            </w:tcBorders>
          </w:tcPr>
          <w:p w14:paraId="06C05CB7"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(0.75)</w:t>
            </w:r>
          </w:p>
        </w:tc>
      </w:tr>
      <w:tr w:rsidR="004858B6" w:rsidRPr="00A04F75" w14:paraId="1EF04D29" w14:textId="77777777" w:rsidTr="004858B6">
        <w:tc>
          <w:tcPr>
            <w:tcW w:w="1633" w:type="pct"/>
            <w:tcBorders>
              <w:top w:val="nil"/>
              <w:left w:val="nil"/>
              <w:bottom w:val="nil"/>
              <w:right w:val="nil"/>
            </w:tcBorders>
          </w:tcPr>
          <w:p w14:paraId="63F994AA" w14:textId="77777777" w:rsidR="004858B6" w:rsidRPr="00A04F75" w:rsidRDefault="004858B6"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78C91F29" w14:textId="77777777" w:rsidR="004858B6" w:rsidRPr="00A04F75" w:rsidRDefault="004858B6"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56BD6D31" w14:textId="77777777" w:rsidR="004858B6" w:rsidRPr="00A04F75" w:rsidRDefault="004858B6"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C12D009" w14:textId="77777777" w:rsidR="004858B6" w:rsidRPr="00A04F75" w:rsidRDefault="004858B6" w:rsidP="004858B6">
            <w:pPr>
              <w:widowControl w:val="0"/>
              <w:autoSpaceDE w:val="0"/>
              <w:autoSpaceDN w:val="0"/>
              <w:adjustRightInd w:val="0"/>
              <w:rPr>
                <w:rFonts w:ascii="Times New Roman" w:hAnsi="Times New Roman" w:cs="Times New Roman"/>
                <w:szCs w:val="24"/>
              </w:rPr>
            </w:pPr>
          </w:p>
        </w:tc>
        <w:tc>
          <w:tcPr>
            <w:tcW w:w="560" w:type="pct"/>
            <w:tcBorders>
              <w:top w:val="nil"/>
              <w:left w:val="nil"/>
              <w:bottom w:val="nil"/>
              <w:right w:val="nil"/>
            </w:tcBorders>
          </w:tcPr>
          <w:p w14:paraId="38C3BDF0" w14:textId="77777777" w:rsidR="004858B6" w:rsidRPr="00A04F75" w:rsidRDefault="004858B6" w:rsidP="004858B6">
            <w:pPr>
              <w:widowControl w:val="0"/>
              <w:autoSpaceDE w:val="0"/>
              <w:autoSpaceDN w:val="0"/>
              <w:adjustRightInd w:val="0"/>
              <w:rPr>
                <w:rFonts w:ascii="Times New Roman" w:hAnsi="Times New Roman" w:cs="Times New Roman"/>
                <w:szCs w:val="24"/>
              </w:rPr>
            </w:pPr>
          </w:p>
        </w:tc>
        <w:tc>
          <w:tcPr>
            <w:tcW w:w="557" w:type="pct"/>
            <w:tcBorders>
              <w:top w:val="nil"/>
              <w:left w:val="nil"/>
              <w:bottom w:val="nil"/>
              <w:right w:val="nil"/>
            </w:tcBorders>
          </w:tcPr>
          <w:p w14:paraId="485A83C4" w14:textId="77777777" w:rsidR="004858B6" w:rsidRPr="00A04F75" w:rsidRDefault="004858B6" w:rsidP="004858B6">
            <w:pPr>
              <w:widowControl w:val="0"/>
              <w:autoSpaceDE w:val="0"/>
              <w:autoSpaceDN w:val="0"/>
              <w:adjustRightInd w:val="0"/>
              <w:rPr>
                <w:rFonts w:ascii="Times New Roman" w:hAnsi="Times New Roman" w:cs="Times New Roman"/>
                <w:szCs w:val="24"/>
              </w:rPr>
            </w:pPr>
          </w:p>
        </w:tc>
        <w:tc>
          <w:tcPr>
            <w:tcW w:w="570" w:type="pct"/>
            <w:tcBorders>
              <w:top w:val="nil"/>
              <w:left w:val="nil"/>
              <w:bottom w:val="nil"/>
              <w:right w:val="nil"/>
            </w:tcBorders>
          </w:tcPr>
          <w:p w14:paraId="537DDF67" w14:textId="77777777" w:rsidR="004858B6" w:rsidRPr="00A04F75" w:rsidRDefault="004858B6" w:rsidP="004858B6">
            <w:pPr>
              <w:widowControl w:val="0"/>
              <w:autoSpaceDE w:val="0"/>
              <w:autoSpaceDN w:val="0"/>
              <w:adjustRightInd w:val="0"/>
              <w:rPr>
                <w:rFonts w:ascii="Times New Roman" w:hAnsi="Times New Roman" w:cs="Times New Roman"/>
                <w:szCs w:val="24"/>
              </w:rPr>
            </w:pPr>
          </w:p>
        </w:tc>
      </w:tr>
      <w:tr w:rsidR="004858B6" w:rsidRPr="00A04F75" w14:paraId="48D20F60" w14:textId="77777777" w:rsidTr="004858B6">
        <w:tc>
          <w:tcPr>
            <w:tcW w:w="1633" w:type="pct"/>
            <w:tcBorders>
              <w:top w:val="single" w:sz="4" w:space="0" w:color="auto"/>
              <w:left w:val="nil"/>
              <w:right w:val="nil"/>
            </w:tcBorders>
          </w:tcPr>
          <w:p w14:paraId="03CCD01A" w14:textId="77777777" w:rsidR="004858B6" w:rsidRPr="00A04F75" w:rsidRDefault="004858B6" w:rsidP="004858B6">
            <w:pPr>
              <w:widowControl w:val="0"/>
              <w:autoSpaceDE w:val="0"/>
              <w:autoSpaceDN w:val="0"/>
              <w:adjustRightInd w:val="0"/>
              <w:rPr>
                <w:rFonts w:ascii="Times New Roman" w:hAnsi="Times New Roman" w:cs="Times New Roman"/>
                <w:szCs w:val="24"/>
              </w:rPr>
            </w:pPr>
            <w:r w:rsidRPr="00A04F75">
              <w:rPr>
                <w:rFonts w:ascii="Times New Roman" w:hAnsi="Times New Roman" w:cs="Times New Roman"/>
                <w:szCs w:val="24"/>
              </w:rPr>
              <w:t>Country-years</w:t>
            </w:r>
          </w:p>
        </w:tc>
        <w:tc>
          <w:tcPr>
            <w:tcW w:w="560" w:type="pct"/>
            <w:tcBorders>
              <w:top w:val="single" w:sz="4" w:space="0" w:color="auto"/>
              <w:left w:val="nil"/>
              <w:right w:val="nil"/>
            </w:tcBorders>
          </w:tcPr>
          <w:p w14:paraId="63581D61"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431</w:t>
            </w:r>
          </w:p>
        </w:tc>
        <w:tc>
          <w:tcPr>
            <w:tcW w:w="560" w:type="pct"/>
            <w:tcBorders>
              <w:top w:val="single" w:sz="4" w:space="0" w:color="auto"/>
              <w:left w:val="nil"/>
              <w:right w:val="nil"/>
            </w:tcBorders>
          </w:tcPr>
          <w:p w14:paraId="466C0B53"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416</w:t>
            </w:r>
          </w:p>
        </w:tc>
        <w:tc>
          <w:tcPr>
            <w:tcW w:w="560" w:type="pct"/>
            <w:tcBorders>
              <w:top w:val="single" w:sz="4" w:space="0" w:color="auto"/>
              <w:left w:val="nil"/>
              <w:right w:val="nil"/>
            </w:tcBorders>
          </w:tcPr>
          <w:p w14:paraId="39FB3702"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391</w:t>
            </w:r>
          </w:p>
        </w:tc>
        <w:tc>
          <w:tcPr>
            <w:tcW w:w="560" w:type="pct"/>
            <w:tcBorders>
              <w:top w:val="single" w:sz="4" w:space="0" w:color="auto"/>
              <w:left w:val="nil"/>
              <w:right w:val="nil"/>
            </w:tcBorders>
          </w:tcPr>
          <w:p w14:paraId="757A28FB"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391</w:t>
            </w:r>
          </w:p>
        </w:tc>
        <w:tc>
          <w:tcPr>
            <w:tcW w:w="557" w:type="pct"/>
            <w:tcBorders>
              <w:top w:val="single" w:sz="4" w:space="0" w:color="auto"/>
              <w:left w:val="nil"/>
              <w:right w:val="nil"/>
            </w:tcBorders>
          </w:tcPr>
          <w:p w14:paraId="6A831C8B"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391</w:t>
            </w:r>
          </w:p>
        </w:tc>
        <w:tc>
          <w:tcPr>
            <w:tcW w:w="570" w:type="pct"/>
            <w:tcBorders>
              <w:top w:val="single" w:sz="4" w:space="0" w:color="auto"/>
              <w:left w:val="nil"/>
              <w:right w:val="nil"/>
            </w:tcBorders>
          </w:tcPr>
          <w:p w14:paraId="42EAE7F9"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334</w:t>
            </w:r>
          </w:p>
        </w:tc>
      </w:tr>
      <w:tr w:rsidR="004858B6" w:rsidRPr="00A04F75" w14:paraId="0B19D088" w14:textId="77777777" w:rsidTr="004858B6">
        <w:tc>
          <w:tcPr>
            <w:tcW w:w="1633" w:type="pct"/>
            <w:tcBorders>
              <w:top w:val="nil"/>
              <w:left w:val="nil"/>
              <w:right w:val="nil"/>
            </w:tcBorders>
          </w:tcPr>
          <w:p w14:paraId="3DA4C080" w14:textId="77777777" w:rsidR="004858B6" w:rsidRPr="00A04F75" w:rsidRDefault="004858B6" w:rsidP="004858B6">
            <w:pPr>
              <w:widowControl w:val="0"/>
              <w:autoSpaceDE w:val="0"/>
              <w:autoSpaceDN w:val="0"/>
              <w:adjustRightInd w:val="0"/>
              <w:rPr>
                <w:rFonts w:ascii="Times New Roman" w:hAnsi="Times New Roman" w:cs="Times New Roman"/>
                <w:iCs/>
                <w:szCs w:val="24"/>
              </w:rPr>
            </w:pPr>
            <w:r w:rsidRPr="00A04F75">
              <w:rPr>
                <w:rFonts w:ascii="Times New Roman" w:hAnsi="Times New Roman" w:cs="Times New Roman"/>
                <w:iCs/>
                <w:szCs w:val="24"/>
              </w:rPr>
              <w:t>Countries</w:t>
            </w:r>
          </w:p>
        </w:tc>
        <w:tc>
          <w:tcPr>
            <w:tcW w:w="560" w:type="pct"/>
            <w:tcBorders>
              <w:top w:val="nil"/>
              <w:left w:val="nil"/>
              <w:right w:val="nil"/>
            </w:tcBorders>
          </w:tcPr>
          <w:p w14:paraId="7479B42E"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560" w:type="pct"/>
            <w:tcBorders>
              <w:top w:val="nil"/>
              <w:left w:val="nil"/>
              <w:right w:val="nil"/>
            </w:tcBorders>
          </w:tcPr>
          <w:p w14:paraId="7C024610"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560" w:type="pct"/>
            <w:tcBorders>
              <w:top w:val="nil"/>
              <w:left w:val="nil"/>
              <w:right w:val="nil"/>
            </w:tcBorders>
          </w:tcPr>
          <w:p w14:paraId="7E46CFAA"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560" w:type="pct"/>
            <w:tcBorders>
              <w:top w:val="nil"/>
              <w:left w:val="nil"/>
              <w:right w:val="nil"/>
            </w:tcBorders>
          </w:tcPr>
          <w:p w14:paraId="7D99B6B3"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557" w:type="pct"/>
            <w:tcBorders>
              <w:top w:val="nil"/>
              <w:left w:val="nil"/>
              <w:right w:val="nil"/>
            </w:tcBorders>
          </w:tcPr>
          <w:p w14:paraId="0D02DA4E"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c>
          <w:tcPr>
            <w:tcW w:w="570" w:type="pct"/>
            <w:tcBorders>
              <w:top w:val="nil"/>
              <w:left w:val="nil"/>
              <w:right w:val="nil"/>
            </w:tcBorders>
          </w:tcPr>
          <w:p w14:paraId="417D9DC1" w14:textId="77777777" w:rsidR="004858B6" w:rsidRPr="00A04F75" w:rsidRDefault="004858B6" w:rsidP="004858B6">
            <w:pPr>
              <w:widowControl w:val="0"/>
              <w:autoSpaceDE w:val="0"/>
              <w:autoSpaceDN w:val="0"/>
              <w:adjustRightInd w:val="0"/>
              <w:jc w:val="center"/>
              <w:rPr>
                <w:rFonts w:ascii="Times New Roman" w:hAnsi="Times New Roman" w:cs="Times New Roman"/>
                <w:szCs w:val="24"/>
              </w:rPr>
            </w:pPr>
            <w:r w:rsidRPr="00A04F75">
              <w:rPr>
                <w:rFonts w:ascii="Times New Roman" w:hAnsi="Times New Roman" w:cs="Times New Roman"/>
                <w:szCs w:val="24"/>
              </w:rPr>
              <w:t>27</w:t>
            </w:r>
          </w:p>
        </w:tc>
      </w:tr>
    </w:tbl>
    <w:p w14:paraId="78619598" w14:textId="77777777" w:rsidR="006D3D69" w:rsidRDefault="00A04F75" w:rsidP="00A04F75">
      <w:pPr>
        <w:rPr>
          <w:rFonts w:ascii="Times New Roman" w:hAnsi="Times New Roman" w:cs="Times New Roman"/>
          <w:sz w:val="20"/>
          <w:szCs w:val="20"/>
        </w:rPr>
      </w:pPr>
      <w:r w:rsidRPr="00A04F75">
        <w:rPr>
          <w:rFonts w:ascii="Times New Roman" w:hAnsi="Times New Roman" w:cs="Times New Roman"/>
          <w:i/>
          <w:sz w:val="20"/>
          <w:szCs w:val="20"/>
        </w:rPr>
        <w:t>Notes:</w:t>
      </w:r>
      <w:r w:rsidRPr="00A04F75">
        <w:rPr>
          <w:rFonts w:ascii="Times New Roman" w:hAnsi="Times New Roman" w:cs="Times New Roman"/>
          <w:sz w:val="20"/>
          <w:szCs w:val="20"/>
        </w:rPr>
        <w:t xml:space="preserve"> </w:t>
      </w:r>
      <w:r w:rsidR="0002330C" w:rsidRPr="0002330C">
        <w:rPr>
          <w:rFonts w:ascii="Times New Roman" w:hAnsi="Times New Roman" w:cs="Times New Roman"/>
          <w:sz w:val="20"/>
          <w:szCs w:val="20"/>
        </w:rPr>
        <w:t>Source: EuroStat 2013 edition, IMF MONA 2013 edition, World Bank Political Inst</w:t>
      </w:r>
      <w:r w:rsidRPr="00A04F75">
        <w:rPr>
          <w:rFonts w:ascii="Times New Roman" w:hAnsi="Times New Roman" w:cs="Times New Roman"/>
          <w:sz w:val="20"/>
          <w:szCs w:val="20"/>
        </w:rPr>
        <w:t xml:space="preserve">itutions Database 2013 edition. </w:t>
      </w:r>
      <w:r w:rsidR="0002330C" w:rsidRPr="0002330C">
        <w:rPr>
          <w:rFonts w:ascii="Times New Roman" w:hAnsi="Times New Roman" w:cs="Times New Roman"/>
          <w:sz w:val="20"/>
          <w:szCs w:val="20"/>
        </w:rPr>
        <w:t xml:space="preserve">Standard errors in parentheses, adjusted for repeated observations: * </w:t>
      </w:r>
      <w:r w:rsidR="0002330C" w:rsidRPr="0002330C">
        <w:rPr>
          <w:rFonts w:ascii="Times New Roman" w:hAnsi="Times New Roman" w:cs="Times New Roman"/>
          <w:iCs/>
          <w:sz w:val="20"/>
          <w:szCs w:val="20"/>
        </w:rPr>
        <w:t>p</w:t>
      </w:r>
      <w:r w:rsidR="0002330C" w:rsidRPr="0002330C">
        <w:rPr>
          <w:rFonts w:ascii="Times New Roman" w:hAnsi="Times New Roman" w:cs="Times New Roman"/>
          <w:sz w:val="20"/>
          <w:szCs w:val="20"/>
        </w:rPr>
        <w:t xml:space="preserve"> &lt; 0.05, ** </w:t>
      </w:r>
      <w:r w:rsidR="0002330C" w:rsidRPr="0002330C">
        <w:rPr>
          <w:rFonts w:ascii="Times New Roman" w:hAnsi="Times New Roman" w:cs="Times New Roman"/>
          <w:iCs/>
          <w:sz w:val="20"/>
          <w:szCs w:val="20"/>
        </w:rPr>
        <w:t>p</w:t>
      </w:r>
      <w:r w:rsidR="0002330C" w:rsidRPr="0002330C">
        <w:rPr>
          <w:rFonts w:ascii="Times New Roman" w:hAnsi="Times New Roman" w:cs="Times New Roman"/>
          <w:sz w:val="20"/>
          <w:szCs w:val="20"/>
        </w:rPr>
        <w:t xml:space="preserve"> &lt; 0.01 </w:t>
      </w:r>
    </w:p>
    <w:p w14:paraId="52B4DE28" w14:textId="77777777" w:rsidR="006D3D69" w:rsidRPr="006D3D69" w:rsidRDefault="006D3D69" w:rsidP="00A04F75">
      <w:pPr>
        <w:rPr>
          <w:rFonts w:ascii="Times New Roman" w:hAnsi="Times New Roman" w:cs="Times New Roman"/>
          <w:bCs/>
          <w:sz w:val="20"/>
          <w:szCs w:val="20"/>
        </w:rPr>
      </w:pPr>
      <w:r w:rsidRPr="006D3D69">
        <w:rPr>
          <w:rFonts w:ascii="Times New Roman" w:hAnsi="Times New Roman" w:cs="Times New Roman"/>
          <w:bCs/>
          <w:sz w:val="20"/>
          <w:szCs w:val="20"/>
          <w:vertAlign w:val="superscript"/>
        </w:rPr>
        <w:t xml:space="preserve">† </w:t>
      </w:r>
      <w:r w:rsidRPr="006D3D69">
        <w:rPr>
          <w:rFonts w:ascii="Times New Roman" w:hAnsi="Times New Roman" w:cs="Times New Roman"/>
          <w:bCs/>
          <w:sz w:val="20"/>
          <w:szCs w:val="20"/>
        </w:rPr>
        <w:t>- units in real per capita, in constant purchasing-power-parity USD</w:t>
      </w:r>
    </w:p>
    <w:p w14:paraId="7FBB7AC5" w14:textId="77777777" w:rsidR="00C10BE4" w:rsidRPr="00C10BE4" w:rsidRDefault="00C10BE4" w:rsidP="00C10BE4">
      <w:pPr>
        <w:rPr>
          <w:rFonts w:ascii="Times New Roman" w:hAnsi="Times New Roman" w:cs="Times New Roman"/>
          <w:sz w:val="20"/>
          <w:szCs w:val="20"/>
        </w:rPr>
      </w:pPr>
      <w:r w:rsidRPr="00C10BE4">
        <w:rPr>
          <w:rFonts w:ascii="Times New Roman" w:hAnsi="Times New Roman" w:cs="Times New Roman"/>
          <w:sz w:val="20"/>
          <w:szCs w:val="20"/>
        </w:rPr>
        <w:t>˚ Baseline category is Centre. Taken from the World Bank Political Institutions database, Left governing party and Right governing party are measures of the economic ideology of the governing party (or the party whose leader is head of a coalition) derived from party manifestos.</w:t>
      </w:r>
    </w:p>
    <w:p w14:paraId="5661DA64" w14:textId="77777777" w:rsidR="000D59E3" w:rsidRPr="002F3B34" w:rsidRDefault="006D3D69" w:rsidP="000071E6">
      <w:pPr>
        <w:rPr>
          <w:rFonts w:ascii="Times New Roman" w:hAnsi="Times New Roman" w:cs="Times New Roman"/>
          <w:sz w:val="20"/>
          <w:szCs w:val="20"/>
        </w:rPr>
      </w:pPr>
      <w:r w:rsidRPr="006D3D69">
        <w:rPr>
          <w:rFonts w:ascii="Times New Roman" w:hAnsi="Times New Roman" w:cs="Times New Roman"/>
          <w:sz w:val="20"/>
          <w:szCs w:val="20"/>
        </w:rPr>
        <w:t>IMF bailouts include Stand-by Arrangements, usually short-term lending to states to cover the effect of unanticipated shocks, and Extended Fund Facilities, which are usually medium- or long-term lending programmes aimed at overcoming weaknesses in the national economy which may have precipitated or exacerbated the shock.</w:t>
      </w:r>
    </w:p>
    <w:sectPr w:rsidR="000D59E3" w:rsidRPr="002F3B34" w:rsidSect="0024049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FE6F" w14:textId="77777777" w:rsidR="00D26EF1" w:rsidRDefault="00D26EF1" w:rsidP="00A218A2">
      <w:r>
        <w:separator/>
      </w:r>
    </w:p>
  </w:endnote>
  <w:endnote w:type="continuationSeparator" w:id="0">
    <w:p w14:paraId="54A1A461" w14:textId="77777777" w:rsidR="00D26EF1" w:rsidRDefault="00D26EF1" w:rsidP="00A218A2">
      <w:r>
        <w:continuationSeparator/>
      </w:r>
    </w:p>
  </w:endnote>
  <w:endnote w:type="continuationNotice" w:id="1">
    <w:p w14:paraId="2A9E4156" w14:textId="77777777" w:rsidR="00D26EF1" w:rsidRDefault="00D26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8251"/>
      <w:docPartObj>
        <w:docPartGallery w:val="Page Numbers (Bottom of Page)"/>
        <w:docPartUnique/>
      </w:docPartObj>
    </w:sdtPr>
    <w:sdtEndPr/>
    <w:sdtContent>
      <w:p w14:paraId="7BDBD0D8" w14:textId="77777777" w:rsidR="00B31770" w:rsidRDefault="00BA715E">
        <w:pPr>
          <w:pStyle w:val="Footer"/>
          <w:jc w:val="center"/>
        </w:pPr>
        <w:r>
          <w:fldChar w:fldCharType="begin"/>
        </w:r>
        <w:r w:rsidR="00B31770">
          <w:instrText xml:space="preserve"> PAGE   \* MERGEFORMAT </w:instrText>
        </w:r>
        <w:r>
          <w:fldChar w:fldCharType="separate"/>
        </w:r>
        <w:r w:rsidR="00E15AE6">
          <w:rPr>
            <w:noProof/>
          </w:rPr>
          <w:t>1</w:t>
        </w:r>
        <w:r>
          <w:rPr>
            <w:noProof/>
          </w:rPr>
          <w:fldChar w:fldCharType="end"/>
        </w:r>
      </w:p>
    </w:sdtContent>
  </w:sdt>
  <w:p w14:paraId="3AE7F5DD" w14:textId="77777777" w:rsidR="00B31770" w:rsidRDefault="00B31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40DDE" w14:textId="77777777" w:rsidR="00D26EF1" w:rsidRDefault="00D26EF1" w:rsidP="00A218A2">
      <w:r>
        <w:separator/>
      </w:r>
    </w:p>
  </w:footnote>
  <w:footnote w:type="continuationSeparator" w:id="0">
    <w:p w14:paraId="5A032554" w14:textId="77777777" w:rsidR="00D26EF1" w:rsidRDefault="00D26EF1" w:rsidP="00A218A2">
      <w:r>
        <w:continuationSeparator/>
      </w:r>
    </w:p>
  </w:footnote>
  <w:footnote w:type="continuationNotice" w:id="1">
    <w:p w14:paraId="53FAAF25" w14:textId="77777777" w:rsidR="00D26EF1" w:rsidRDefault="00D26E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35DF9"/>
    <w:multiLevelType w:val="hybridMultilevel"/>
    <w:tmpl w:val="E7F0A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54456E"/>
    <w:multiLevelType w:val="hybridMultilevel"/>
    <w:tmpl w:val="03F41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F00EE"/>
    <w:multiLevelType w:val="hybridMultilevel"/>
    <w:tmpl w:val="68E0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4C6A42"/>
    <w:multiLevelType w:val="hybridMultilevel"/>
    <w:tmpl w:val="A97A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Brit Medical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v2ztee5p1pxtxker2e6pxwpgftrasdpxwa2p&quot;&gt;HealthInequalities&lt;record-ids&gt;&lt;item&gt;51&lt;/item&gt;&lt;item&gt;66&lt;/item&gt;&lt;item&gt;69&lt;/item&gt;&lt;item&gt;78&lt;/item&gt;&lt;item&gt;155&lt;/item&gt;&lt;item&gt;157&lt;/item&gt;&lt;item&gt;160&lt;/item&gt;&lt;item&gt;174&lt;/item&gt;&lt;item&gt;371&lt;/item&gt;&lt;item&gt;448&lt;/item&gt;&lt;item&gt;598&lt;/item&gt;&lt;item&gt;620&lt;/item&gt;&lt;item&gt;622&lt;/item&gt;&lt;item&gt;623&lt;/item&gt;&lt;item&gt;624&lt;/item&gt;&lt;item&gt;708&lt;/item&gt;&lt;item&gt;810&lt;/item&gt;&lt;item&gt;821&lt;/item&gt;&lt;item&gt;1015&lt;/item&gt;&lt;item&gt;1049&lt;/item&gt;&lt;item&gt;1051&lt;/item&gt;&lt;item&gt;1054&lt;/item&gt;&lt;item&gt;1056&lt;/item&gt;&lt;item&gt;1067&lt;/item&gt;&lt;item&gt;1068&lt;/item&gt;&lt;item&gt;1070&lt;/item&gt;&lt;item&gt;1078&lt;/item&gt;&lt;item&gt;1079&lt;/item&gt;&lt;item&gt;1080&lt;/item&gt;&lt;item&gt;1084&lt;/item&gt;&lt;item&gt;1085&lt;/item&gt;&lt;item&gt;1096&lt;/item&gt;&lt;item&gt;1103&lt;/item&gt;&lt;item&gt;1106&lt;/item&gt;&lt;item&gt;1107&lt;/item&gt;&lt;item&gt;1109&lt;/item&gt;&lt;item&gt;1110&lt;/item&gt;&lt;item&gt;1111&lt;/item&gt;&lt;item&gt;1112&lt;/item&gt;&lt;item&gt;1501&lt;/item&gt;&lt;item&gt;1588&lt;/item&gt;&lt;item&gt;1615&lt;/item&gt;&lt;item&gt;1637&lt;/item&gt;&lt;item&gt;1710&lt;/item&gt;&lt;item&gt;1711&lt;/item&gt;&lt;item&gt;1712&lt;/item&gt;&lt;item&gt;1713&lt;/item&gt;&lt;item&gt;1725&lt;/item&gt;&lt;item&gt;1726&lt;/item&gt;&lt;item&gt;1727&lt;/item&gt;&lt;/record-ids&gt;&lt;/item&gt;&lt;/Libraries&gt;"/>
  </w:docVars>
  <w:rsids>
    <w:rsidRoot w:val="007D25CE"/>
    <w:rsid w:val="0000193D"/>
    <w:rsid w:val="000036D6"/>
    <w:rsid w:val="00005AF7"/>
    <w:rsid w:val="0000615E"/>
    <w:rsid w:val="000071E6"/>
    <w:rsid w:val="000117FB"/>
    <w:rsid w:val="00011F51"/>
    <w:rsid w:val="00015226"/>
    <w:rsid w:val="0001539B"/>
    <w:rsid w:val="00016DC3"/>
    <w:rsid w:val="00020C1F"/>
    <w:rsid w:val="00022B38"/>
    <w:rsid w:val="0002330C"/>
    <w:rsid w:val="00023E48"/>
    <w:rsid w:val="0002486A"/>
    <w:rsid w:val="00024D11"/>
    <w:rsid w:val="00026D39"/>
    <w:rsid w:val="00031333"/>
    <w:rsid w:val="0004246C"/>
    <w:rsid w:val="00042E5E"/>
    <w:rsid w:val="000501A3"/>
    <w:rsid w:val="000527C7"/>
    <w:rsid w:val="00052E12"/>
    <w:rsid w:val="00056A23"/>
    <w:rsid w:val="00056F0C"/>
    <w:rsid w:val="00060D54"/>
    <w:rsid w:val="00061683"/>
    <w:rsid w:val="0006600F"/>
    <w:rsid w:val="0006682F"/>
    <w:rsid w:val="000672C2"/>
    <w:rsid w:val="00067F1B"/>
    <w:rsid w:val="00071BAB"/>
    <w:rsid w:val="000723AF"/>
    <w:rsid w:val="00073291"/>
    <w:rsid w:val="00075BAA"/>
    <w:rsid w:val="00077534"/>
    <w:rsid w:val="0007789D"/>
    <w:rsid w:val="00077A27"/>
    <w:rsid w:val="00083424"/>
    <w:rsid w:val="00086719"/>
    <w:rsid w:val="000910C7"/>
    <w:rsid w:val="00097750"/>
    <w:rsid w:val="000A30AA"/>
    <w:rsid w:val="000A403D"/>
    <w:rsid w:val="000A6AEC"/>
    <w:rsid w:val="000B1EED"/>
    <w:rsid w:val="000B4590"/>
    <w:rsid w:val="000B5473"/>
    <w:rsid w:val="000B782A"/>
    <w:rsid w:val="000C13B2"/>
    <w:rsid w:val="000C3D4C"/>
    <w:rsid w:val="000C61F3"/>
    <w:rsid w:val="000C67B3"/>
    <w:rsid w:val="000D59E3"/>
    <w:rsid w:val="000D5D7A"/>
    <w:rsid w:val="000D6A38"/>
    <w:rsid w:val="000D7EE1"/>
    <w:rsid w:val="000E0EA4"/>
    <w:rsid w:val="000E1031"/>
    <w:rsid w:val="000E54DA"/>
    <w:rsid w:val="000F05DE"/>
    <w:rsid w:val="000F2B08"/>
    <w:rsid w:val="000F2C0F"/>
    <w:rsid w:val="000F3193"/>
    <w:rsid w:val="000F36B1"/>
    <w:rsid w:val="000F6019"/>
    <w:rsid w:val="00107D00"/>
    <w:rsid w:val="00110614"/>
    <w:rsid w:val="00115660"/>
    <w:rsid w:val="00116310"/>
    <w:rsid w:val="00117CE8"/>
    <w:rsid w:val="0012155A"/>
    <w:rsid w:val="00126383"/>
    <w:rsid w:val="00127AD4"/>
    <w:rsid w:val="001301E5"/>
    <w:rsid w:val="0013062F"/>
    <w:rsid w:val="001309C0"/>
    <w:rsid w:val="001317F7"/>
    <w:rsid w:val="001324E3"/>
    <w:rsid w:val="00140FA3"/>
    <w:rsid w:val="001415EC"/>
    <w:rsid w:val="00143AFF"/>
    <w:rsid w:val="00143B68"/>
    <w:rsid w:val="00150D70"/>
    <w:rsid w:val="00151242"/>
    <w:rsid w:val="001518C6"/>
    <w:rsid w:val="0015399F"/>
    <w:rsid w:val="00154142"/>
    <w:rsid w:val="001563AA"/>
    <w:rsid w:val="00163D3A"/>
    <w:rsid w:val="0016587E"/>
    <w:rsid w:val="00166C0E"/>
    <w:rsid w:val="00167089"/>
    <w:rsid w:val="00175A55"/>
    <w:rsid w:val="0017603E"/>
    <w:rsid w:val="001808A1"/>
    <w:rsid w:val="00184A4D"/>
    <w:rsid w:val="00187D14"/>
    <w:rsid w:val="00192488"/>
    <w:rsid w:val="0019687F"/>
    <w:rsid w:val="001B17A2"/>
    <w:rsid w:val="001B1B55"/>
    <w:rsid w:val="001B5628"/>
    <w:rsid w:val="001C17CD"/>
    <w:rsid w:val="001C1A37"/>
    <w:rsid w:val="001C1F12"/>
    <w:rsid w:val="001C23C9"/>
    <w:rsid w:val="001C2EF5"/>
    <w:rsid w:val="001C503D"/>
    <w:rsid w:val="001D007E"/>
    <w:rsid w:val="001D2785"/>
    <w:rsid w:val="001E0EE3"/>
    <w:rsid w:val="001E2EB3"/>
    <w:rsid w:val="001E3072"/>
    <w:rsid w:val="001E54D8"/>
    <w:rsid w:val="001E5E59"/>
    <w:rsid w:val="001F0CC7"/>
    <w:rsid w:val="001F2540"/>
    <w:rsid w:val="001F31A4"/>
    <w:rsid w:val="00201003"/>
    <w:rsid w:val="0020304F"/>
    <w:rsid w:val="002122C6"/>
    <w:rsid w:val="00212B56"/>
    <w:rsid w:val="002165FA"/>
    <w:rsid w:val="002227DB"/>
    <w:rsid w:val="00222D64"/>
    <w:rsid w:val="00223F82"/>
    <w:rsid w:val="00224CA6"/>
    <w:rsid w:val="00225013"/>
    <w:rsid w:val="002302B9"/>
    <w:rsid w:val="002363B0"/>
    <w:rsid w:val="00236D49"/>
    <w:rsid w:val="00237283"/>
    <w:rsid w:val="00240494"/>
    <w:rsid w:val="00242DC7"/>
    <w:rsid w:val="0024403A"/>
    <w:rsid w:val="002459F6"/>
    <w:rsid w:val="00246414"/>
    <w:rsid w:val="002469D6"/>
    <w:rsid w:val="0025161A"/>
    <w:rsid w:val="002566B6"/>
    <w:rsid w:val="00256BEF"/>
    <w:rsid w:val="00257038"/>
    <w:rsid w:val="0026015A"/>
    <w:rsid w:val="00260680"/>
    <w:rsid w:val="0026108A"/>
    <w:rsid w:val="0026498E"/>
    <w:rsid w:val="002650BA"/>
    <w:rsid w:val="00266708"/>
    <w:rsid w:val="00267C59"/>
    <w:rsid w:val="002701A3"/>
    <w:rsid w:val="002709A0"/>
    <w:rsid w:val="00271917"/>
    <w:rsid w:val="00272450"/>
    <w:rsid w:val="002751F8"/>
    <w:rsid w:val="00275EC6"/>
    <w:rsid w:val="00276AE8"/>
    <w:rsid w:val="002800BC"/>
    <w:rsid w:val="002823B8"/>
    <w:rsid w:val="00282874"/>
    <w:rsid w:val="00284CC4"/>
    <w:rsid w:val="00286231"/>
    <w:rsid w:val="00290EC6"/>
    <w:rsid w:val="002952A0"/>
    <w:rsid w:val="00296885"/>
    <w:rsid w:val="00296DE5"/>
    <w:rsid w:val="002A175E"/>
    <w:rsid w:val="002A31F6"/>
    <w:rsid w:val="002A577B"/>
    <w:rsid w:val="002A6A09"/>
    <w:rsid w:val="002B18EF"/>
    <w:rsid w:val="002B2D75"/>
    <w:rsid w:val="002B3C50"/>
    <w:rsid w:val="002B4E07"/>
    <w:rsid w:val="002B5E80"/>
    <w:rsid w:val="002C07B4"/>
    <w:rsid w:val="002C4E3E"/>
    <w:rsid w:val="002C7FE7"/>
    <w:rsid w:val="002D17C4"/>
    <w:rsid w:val="002D2BE1"/>
    <w:rsid w:val="002D62EA"/>
    <w:rsid w:val="002E0320"/>
    <w:rsid w:val="002E0440"/>
    <w:rsid w:val="002E2899"/>
    <w:rsid w:val="002E2B34"/>
    <w:rsid w:val="002F1291"/>
    <w:rsid w:val="002F3B34"/>
    <w:rsid w:val="002F4D23"/>
    <w:rsid w:val="00302327"/>
    <w:rsid w:val="00311028"/>
    <w:rsid w:val="00313C59"/>
    <w:rsid w:val="00313DA1"/>
    <w:rsid w:val="00314419"/>
    <w:rsid w:val="003149A4"/>
    <w:rsid w:val="00315A55"/>
    <w:rsid w:val="00321A05"/>
    <w:rsid w:val="003249F1"/>
    <w:rsid w:val="00326486"/>
    <w:rsid w:val="00334A7E"/>
    <w:rsid w:val="00335599"/>
    <w:rsid w:val="0033704A"/>
    <w:rsid w:val="003372B9"/>
    <w:rsid w:val="003377C0"/>
    <w:rsid w:val="00344CDF"/>
    <w:rsid w:val="003464A5"/>
    <w:rsid w:val="00352B0D"/>
    <w:rsid w:val="00354E67"/>
    <w:rsid w:val="00355FA4"/>
    <w:rsid w:val="00356A45"/>
    <w:rsid w:val="00357BA1"/>
    <w:rsid w:val="00360A89"/>
    <w:rsid w:val="0036153F"/>
    <w:rsid w:val="00361AD7"/>
    <w:rsid w:val="0036265C"/>
    <w:rsid w:val="0036313D"/>
    <w:rsid w:val="00364DA8"/>
    <w:rsid w:val="00367DEF"/>
    <w:rsid w:val="00372BD7"/>
    <w:rsid w:val="00373888"/>
    <w:rsid w:val="00373B30"/>
    <w:rsid w:val="00377827"/>
    <w:rsid w:val="0038098D"/>
    <w:rsid w:val="003811BB"/>
    <w:rsid w:val="00381489"/>
    <w:rsid w:val="003826C8"/>
    <w:rsid w:val="003915F8"/>
    <w:rsid w:val="003958C0"/>
    <w:rsid w:val="00396E9D"/>
    <w:rsid w:val="003974DD"/>
    <w:rsid w:val="00397EF3"/>
    <w:rsid w:val="003A14ED"/>
    <w:rsid w:val="003A3EFB"/>
    <w:rsid w:val="003A501A"/>
    <w:rsid w:val="003A66A5"/>
    <w:rsid w:val="003B37FC"/>
    <w:rsid w:val="003B7BB0"/>
    <w:rsid w:val="003C1B11"/>
    <w:rsid w:val="003C1F9C"/>
    <w:rsid w:val="003C299E"/>
    <w:rsid w:val="003C2CAC"/>
    <w:rsid w:val="003C5513"/>
    <w:rsid w:val="003C5DB8"/>
    <w:rsid w:val="003D37BF"/>
    <w:rsid w:val="003D5AAC"/>
    <w:rsid w:val="003E10AF"/>
    <w:rsid w:val="003E1621"/>
    <w:rsid w:val="003E5CF7"/>
    <w:rsid w:val="003E6251"/>
    <w:rsid w:val="003F344F"/>
    <w:rsid w:val="003F47E6"/>
    <w:rsid w:val="003F6116"/>
    <w:rsid w:val="003F72E6"/>
    <w:rsid w:val="003F796B"/>
    <w:rsid w:val="00403171"/>
    <w:rsid w:val="00403910"/>
    <w:rsid w:val="00404DCC"/>
    <w:rsid w:val="00405824"/>
    <w:rsid w:val="00405992"/>
    <w:rsid w:val="004071E6"/>
    <w:rsid w:val="004114D2"/>
    <w:rsid w:val="00414D87"/>
    <w:rsid w:val="00416B39"/>
    <w:rsid w:val="00417AC1"/>
    <w:rsid w:val="00420B20"/>
    <w:rsid w:val="00422CD7"/>
    <w:rsid w:val="004232CD"/>
    <w:rsid w:val="00423E0A"/>
    <w:rsid w:val="00427B61"/>
    <w:rsid w:val="00432047"/>
    <w:rsid w:val="00433B16"/>
    <w:rsid w:val="00434663"/>
    <w:rsid w:val="0043554C"/>
    <w:rsid w:val="00436165"/>
    <w:rsid w:val="00440833"/>
    <w:rsid w:val="004421A5"/>
    <w:rsid w:val="00442CE3"/>
    <w:rsid w:val="00450798"/>
    <w:rsid w:val="00451058"/>
    <w:rsid w:val="00453B7C"/>
    <w:rsid w:val="00454A8E"/>
    <w:rsid w:val="00456B33"/>
    <w:rsid w:val="004578BA"/>
    <w:rsid w:val="00457C88"/>
    <w:rsid w:val="0046032A"/>
    <w:rsid w:val="00460BCE"/>
    <w:rsid w:val="00462C5C"/>
    <w:rsid w:val="004637F8"/>
    <w:rsid w:val="00464E71"/>
    <w:rsid w:val="00471EBD"/>
    <w:rsid w:val="00471F0C"/>
    <w:rsid w:val="004733AF"/>
    <w:rsid w:val="00474BB7"/>
    <w:rsid w:val="004770B4"/>
    <w:rsid w:val="00480531"/>
    <w:rsid w:val="004828AA"/>
    <w:rsid w:val="00483EDE"/>
    <w:rsid w:val="004858B6"/>
    <w:rsid w:val="0049290C"/>
    <w:rsid w:val="00492FB8"/>
    <w:rsid w:val="00493E28"/>
    <w:rsid w:val="0049545D"/>
    <w:rsid w:val="0049630E"/>
    <w:rsid w:val="004A3B73"/>
    <w:rsid w:val="004B0C01"/>
    <w:rsid w:val="004B1412"/>
    <w:rsid w:val="004B1600"/>
    <w:rsid w:val="004B2A98"/>
    <w:rsid w:val="004B5139"/>
    <w:rsid w:val="004B6CC4"/>
    <w:rsid w:val="004B75AC"/>
    <w:rsid w:val="004C0E6A"/>
    <w:rsid w:val="004C477C"/>
    <w:rsid w:val="004C49F7"/>
    <w:rsid w:val="004C50D4"/>
    <w:rsid w:val="004C6908"/>
    <w:rsid w:val="004C6EEC"/>
    <w:rsid w:val="004C7811"/>
    <w:rsid w:val="004D574E"/>
    <w:rsid w:val="004D633F"/>
    <w:rsid w:val="004D64B5"/>
    <w:rsid w:val="004D7BD3"/>
    <w:rsid w:val="004E31FF"/>
    <w:rsid w:val="004E3871"/>
    <w:rsid w:val="004E7C1B"/>
    <w:rsid w:val="004F0356"/>
    <w:rsid w:val="004F0480"/>
    <w:rsid w:val="004F0B92"/>
    <w:rsid w:val="004F1504"/>
    <w:rsid w:val="004F1D8B"/>
    <w:rsid w:val="004F1DBE"/>
    <w:rsid w:val="004F25D5"/>
    <w:rsid w:val="004F4E6B"/>
    <w:rsid w:val="004F6D0F"/>
    <w:rsid w:val="00501F4F"/>
    <w:rsid w:val="005054DC"/>
    <w:rsid w:val="00505FC3"/>
    <w:rsid w:val="0051176E"/>
    <w:rsid w:val="00511EA1"/>
    <w:rsid w:val="005155D0"/>
    <w:rsid w:val="00516475"/>
    <w:rsid w:val="00523382"/>
    <w:rsid w:val="00523AB5"/>
    <w:rsid w:val="00524293"/>
    <w:rsid w:val="005243C3"/>
    <w:rsid w:val="00525229"/>
    <w:rsid w:val="00526551"/>
    <w:rsid w:val="00526DBB"/>
    <w:rsid w:val="0052764E"/>
    <w:rsid w:val="00530FB2"/>
    <w:rsid w:val="00532E66"/>
    <w:rsid w:val="0053330C"/>
    <w:rsid w:val="0053561C"/>
    <w:rsid w:val="00535A32"/>
    <w:rsid w:val="0054466C"/>
    <w:rsid w:val="005467BE"/>
    <w:rsid w:val="0055226F"/>
    <w:rsid w:val="00553E43"/>
    <w:rsid w:val="00560981"/>
    <w:rsid w:val="00561B09"/>
    <w:rsid w:val="00565342"/>
    <w:rsid w:val="00571083"/>
    <w:rsid w:val="0057170E"/>
    <w:rsid w:val="0057459B"/>
    <w:rsid w:val="00585500"/>
    <w:rsid w:val="0058771F"/>
    <w:rsid w:val="0059233C"/>
    <w:rsid w:val="00592D38"/>
    <w:rsid w:val="005945FA"/>
    <w:rsid w:val="005959D3"/>
    <w:rsid w:val="0059764E"/>
    <w:rsid w:val="005A0F39"/>
    <w:rsid w:val="005A36E4"/>
    <w:rsid w:val="005A38F8"/>
    <w:rsid w:val="005A4D3C"/>
    <w:rsid w:val="005A6105"/>
    <w:rsid w:val="005B00E9"/>
    <w:rsid w:val="005B0740"/>
    <w:rsid w:val="005B0D90"/>
    <w:rsid w:val="005B2C5F"/>
    <w:rsid w:val="005B3115"/>
    <w:rsid w:val="005B555D"/>
    <w:rsid w:val="005C0DA9"/>
    <w:rsid w:val="005C1256"/>
    <w:rsid w:val="005C611A"/>
    <w:rsid w:val="005C6D0C"/>
    <w:rsid w:val="005C7206"/>
    <w:rsid w:val="005C740E"/>
    <w:rsid w:val="005C79B0"/>
    <w:rsid w:val="005D17F6"/>
    <w:rsid w:val="005D3029"/>
    <w:rsid w:val="005D4FE1"/>
    <w:rsid w:val="005D5447"/>
    <w:rsid w:val="005D54C2"/>
    <w:rsid w:val="005D6BB6"/>
    <w:rsid w:val="005D7B82"/>
    <w:rsid w:val="005E1527"/>
    <w:rsid w:val="005E2874"/>
    <w:rsid w:val="005E3228"/>
    <w:rsid w:val="005E629F"/>
    <w:rsid w:val="005F5758"/>
    <w:rsid w:val="005F6D18"/>
    <w:rsid w:val="00600888"/>
    <w:rsid w:val="0060752D"/>
    <w:rsid w:val="0061050D"/>
    <w:rsid w:val="006125B0"/>
    <w:rsid w:val="0061374A"/>
    <w:rsid w:val="006152F9"/>
    <w:rsid w:val="00615632"/>
    <w:rsid w:val="00616F9B"/>
    <w:rsid w:val="0061726D"/>
    <w:rsid w:val="00620FE8"/>
    <w:rsid w:val="0062259A"/>
    <w:rsid w:val="0062296E"/>
    <w:rsid w:val="006245D6"/>
    <w:rsid w:val="00624C5C"/>
    <w:rsid w:val="00624F5A"/>
    <w:rsid w:val="00626D80"/>
    <w:rsid w:val="00627009"/>
    <w:rsid w:val="0062753B"/>
    <w:rsid w:val="0063332C"/>
    <w:rsid w:val="00633895"/>
    <w:rsid w:val="0064018C"/>
    <w:rsid w:val="006465FA"/>
    <w:rsid w:val="00647A3C"/>
    <w:rsid w:val="00647D72"/>
    <w:rsid w:val="006517A7"/>
    <w:rsid w:val="00652675"/>
    <w:rsid w:val="00657053"/>
    <w:rsid w:val="006574D0"/>
    <w:rsid w:val="006576BE"/>
    <w:rsid w:val="006622F0"/>
    <w:rsid w:val="006626AC"/>
    <w:rsid w:val="00663936"/>
    <w:rsid w:val="00673760"/>
    <w:rsid w:val="00674FA6"/>
    <w:rsid w:val="00675A01"/>
    <w:rsid w:val="00676DA8"/>
    <w:rsid w:val="00677A64"/>
    <w:rsid w:val="00677BA6"/>
    <w:rsid w:val="006825DB"/>
    <w:rsid w:val="00684AE0"/>
    <w:rsid w:val="0068515F"/>
    <w:rsid w:val="006863D0"/>
    <w:rsid w:val="0068699A"/>
    <w:rsid w:val="00686A9B"/>
    <w:rsid w:val="00687087"/>
    <w:rsid w:val="00687182"/>
    <w:rsid w:val="006936BF"/>
    <w:rsid w:val="006937C8"/>
    <w:rsid w:val="0069739D"/>
    <w:rsid w:val="006973C8"/>
    <w:rsid w:val="006A1F4F"/>
    <w:rsid w:val="006A5BBC"/>
    <w:rsid w:val="006A5E87"/>
    <w:rsid w:val="006A74B3"/>
    <w:rsid w:val="006B1339"/>
    <w:rsid w:val="006B176C"/>
    <w:rsid w:val="006B6DDF"/>
    <w:rsid w:val="006B7A48"/>
    <w:rsid w:val="006C0A3D"/>
    <w:rsid w:val="006C23ED"/>
    <w:rsid w:val="006C7A5A"/>
    <w:rsid w:val="006D23AE"/>
    <w:rsid w:val="006D24D0"/>
    <w:rsid w:val="006D3C0D"/>
    <w:rsid w:val="006D3D69"/>
    <w:rsid w:val="006D4ACB"/>
    <w:rsid w:val="006D4E7A"/>
    <w:rsid w:val="006D5553"/>
    <w:rsid w:val="006D6190"/>
    <w:rsid w:val="006D67F3"/>
    <w:rsid w:val="006E162B"/>
    <w:rsid w:val="006E2DC0"/>
    <w:rsid w:val="006E3F1F"/>
    <w:rsid w:val="006F0649"/>
    <w:rsid w:val="006F3621"/>
    <w:rsid w:val="006F4C95"/>
    <w:rsid w:val="006F54AC"/>
    <w:rsid w:val="0070132F"/>
    <w:rsid w:val="00701C50"/>
    <w:rsid w:val="007030EA"/>
    <w:rsid w:val="00703CD7"/>
    <w:rsid w:val="00705EAC"/>
    <w:rsid w:val="00707ED0"/>
    <w:rsid w:val="00713E72"/>
    <w:rsid w:val="00715FFA"/>
    <w:rsid w:val="0071602E"/>
    <w:rsid w:val="00716253"/>
    <w:rsid w:val="007179B7"/>
    <w:rsid w:val="00721E88"/>
    <w:rsid w:val="0072284A"/>
    <w:rsid w:val="00723945"/>
    <w:rsid w:val="00724093"/>
    <w:rsid w:val="00724A82"/>
    <w:rsid w:val="0072694D"/>
    <w:rsid w:val="00734B3A"/>
    <w:rsid w:val="00735BB3"/>
    <w:rsid w:val="00747329"/>
    <w:rsid w:val="00754444"/>
    <w:rsid w:val="00756732"/>
    <w:rsid w:val="007648C0"/>
    <w:rsid w:val="00767A3A"/>
    <w:rsid w:val="00767DAA"/>
    <w:rsid w:val="007759C1"/>
    <w:rsid w:val="0077739E"/>
    <w:rsid w:val="0078021C"/>
    <w:rsid w:val="007808EB"/>
    <w:rsid w:val="0078253C"/>
    <w:rsid w:val="00782C9C"/>
    <w:rsid w:val="00785805"/>
    <w:rsid w:val="00785C63"/>
    <w:rsid w:val="0079017B"/>
    <w:rsid w:val="007916C8"/>
    <w:rsid w:val="0079218B"/>
    <w:rsid w:val="00792916"/>
    <w:rsid w:val="00792A95"/>
    <w:rsid w:val="007951A8"/>
    <w:rsid w:val="00795769"/>
    <w:rsid w:val="0079600D"/>
    <w:rsid w:val="00797636"/>
    <w:rsid w:val="007A1736"/>
    <w:rsid w:val="007A3F53"/>
    <w:rsid w:val="007A4527"/>
    <w:rsid w:val="007A474A"/>
    <w:rsid w:val="007A561F"/>
    <w:rsid w:val="007B1271"/>
    <w:rsid w:val="007B136C"/>
    <w:rsid w:val="007B273B"/>
    <w:rsid w:val="007B30FB"/>
    <w:rsid w:val="007B588D"/>
    <w:rsid w:val="007B7DDF"/>
    <w:rsid w:val="007C08B7"/>
    <w:rsid w:val="007C50F8"/>
    <w:rsid w:val="007D1F11"/>
    <w:rsid w:val="007D25CE"/>
    <w:rsid w:val="007D3726"/>
    <w:rsid w:val="007D4921"/>
    <w:rsid w:val="007E1A00"/>
    <w:rsid w:val="007E515C"/>
    <w:rsid w:val="007E73F5"/>
    <w:rsid w:val="007E797F"/>
    <w:rsid w:val="007E7CC2"/>
    <w:rsid w:val="007F22A6"/>
    <w:rsid w:val="007F2426"/>
    <w:rsid w:val="007F32C2"/>
    <w:rsid w:val="007F4568"/>
    <w:rsid w:val="007F4A6B"/>
    <w:rsid w:val="007F7DDA"/>
    <w:rsid w:val="00803FE4"/>
    <w:rsid w:val="00811BB9"/>
    <w:rsid w:val="008151CC"/>
    <w:rsid w:val="00815D3B"/>
    <w:rsid w:val="00816A10"/>
    <w:rsid w:val="008326F8"/>
    <w:rsid w:val="0083326D"/>
    <w:rsid w:val="00833A09"/>
    <w:rsid w:val="00833C19"/>
    <w:rsid w:val="008357CC"/>
    <w:rsid w:val="0083637D"/>
    <w:rsid w:val="00836BE4"/>
    <w:rsid w:val="008376B3"/>
    <w:rsid w:val="008431AF"/>
    <w:rsid w:val="008435D9"/>
    <w:rsid w:val="008472D4"/>
    <w:rsid w:val="0085071E"/>
    <w:rsid w:val="008509DB"/>
    <w:rsid w:val="00850D99"/>
    <w:rsid w:val="00851EB7"/>
    <w:rsid w:val="00852F70"/>
    <w:rsid w:val="00854A47"/>
    <w:rsid w:val="008565D4"/>
    <w:rsid w:val="00856CD4"/>
    <w:rsid w:val="008614D0"/>
    <w:rsid w:val="00862CAD"/>
    <w:rsid w:val="008637C0"/>
    <w:rsid w:val="00863B4D"/>
    <w:rsid w:val="0086667D"/>
    <w:rsid w:val="008675DF"/>
    <w:rsid w:val="00874D85"/>
    <w:rsid w:val="008757F1"/>
    <w:rsid w:val="00875C22"/>
    <w:rsid w:val="00877629"/>
    <w:rsid w:val="00877CBF"/>
    <w:rsid w:val="00892227"/>
    <w:rsid w:val="00892AA6"/>
    <w:rsid w:val="008943C5"/>
    <w:rsid w:val="00895E5B"/>
    <w:rsid w:val="008A26F3"/>
    <w:rsid w:val="008A73F4"/>
    <w:rsid w:val="008B0C31"/>
    <w:rsid w:val="008B3744"/>
    <w:rsid w:val="008B52C9"/>
    <w:rsid w:val="008B7B8B"/>
    <w:rsid w:val="008C079B"/>
    <w:rsid w:val="008C17A5"/>
    <w:rsid w:val="008C1B14"/>
    <w:rsid w:val="008C24DD"/>
    <w:rsid w:val="008C4C1F"/>
    <w:rsid w:val="008C71A9"/>
    <w:rsid w:val="008D2CD3"/>
    <w:rsid w:val="008D31D7"/>
    <w:rsid w:val="008D4B21"/>
    <w:rsid w:val="008D505A"/>
    <w:rsid w:val="008D5231"/>
    <w:rsid w:val="008E359A"/>
    <w:rsid w:val="008E5A8A"/>
    <w:rsid w:val="008E614B"/>
    <w:rsid w:val="008E674A"/>
    <w:rsid w:val="008F389A"/>
    <w:rsid w:val="008F40F2"/>
    <w:rsid w:val="008F5A53"/>
    <w:rsid w:val="00902ACD"/>
    <w:rsid w:val="0090493B"/>
    <w:rsid w:val="0090558C"/>
    <w:rsid w:val="009060D6"/>
    <w:rsid w:val="00906A89"/>
    <w:rsid w:val="009116CB"/>
    <w:rsid w:val="00912030"/>
    <w:rsid w:val="009126E1"/>
    <w:rsid w:val="00914929"/>
    <w:rsid w:val="00916074"/>
    <w:rsid w:val="00916605"/>
    <w:rsid w:val="00920699"/>
    <w:rsid w:val="00924A85"/>
    <w:rsid w:val="0092737F"/>
    <w:rsid w:val="0093001D"/>
    <w:rsid w:val="009318C6"/>
    <w:rsid w:val="00931CB7"/>
    <w:rsid w:val="00933130"/>
    <w:rsid w:val="0093402E"/>
    <w:rsid w:val="00934033"/>
    <w:rsid w:val="00934051"/>
    <w:rsid w:val="00935203"/>
    <w:rsid w:val="00935BA7"/>
    <w:rsid w:val="00942F27"/>
    <w:rsid w:val="00942F6A"/>
    <w:rsid w:val="00945B56"/>
    <w:rsid w:val="00947946"/>
    <w:rsid w:val="00947FC0"/>
    <w:rsid w:val="009533CC"/>
    <w:rsid w:val="009549E0"/>
    <w:rsid w:val="00956A3A"/>
    <w:rsid w:val="00962825"/>
    <w:rsid w:val="009630A1"/>
    <w:rsid w:val="0096352C"/>
    <w:rsid w:val="00966998"/>
    <w:rsid w:val="00966C7B"/>
    <w:rsid w:val="00970BF2"/>
    <w:rsid w:val="00973D05"/>
    <w:rsid w:val="00975677"/>
    <w:rsid w:val="009767EC"/>
    <w:rsid w:val="009771B6"/>
    <w:rsid w:val="009810E6"/>
    <w:rsid w:val="009816AD"/>
    <w:rsid w:val="00981917"/>
    <w:rsid w:val="009824C0"/>
    <w:rsid w:val="009830A8"/>
    <w:rsid w:val="00983C56"/>
    <w:rsid w:val="00984433"/>
    <w:rsid w:val="00985049"/>
    <w:rsid w:val="009929C1"/>
    <w:rsid w:val="009944B8"/>
    <w:rsid w:val="00994C80"/>
    <w:rsid w:val="009960C2"/>
    <w:rsid w:val="009A74F4"/>
    <w:rsid w:val="009B0D49"/>
    <w:rsid w:val="009B2DA2"/>
    <w:rsid w:val="009B59DC"/>
    <w:rsid w:val="009B7628"/>
    <w:rsid w:val="009C0679"/>
    <w:rsid w:val="009C14FD"/>
    <w:rsid w:val="009C56A8"/>
    <w:rsid w:val="009D10EF"/>
    <w:rsid w:val="009D26AB"/>
    <w:rsid w:val="009D3BA4"/>
    <w:rsid w:val="009D5442"/>
    <w:rsid w:val="009E2783"/>
    <w:rsid w:val="009E6BB4"/>
    <w:rsid w:val="009E7D70"/>
    <w:rsid w:val="009F187D"/>
    <w:rsid w:val="009F18D2"/>
    <w:rsid w:val="009F1A2B"/>
    <w:rsid w:val="00A0018F"/>
    <w:rsid w:val="00A009B8"/>
    <w:rsid w:val="00A03463"/>
    <w:rsid w:val="00A04F75"/>
    <w:rsid w:val="00A0798C"/>
    <w:rsid w:val="00A171A3"/>
    <w:rsid w:val="00A17DD8"/>
    <w:rsid w:val="00A205A5"/>
    <w:rsid w:val="00A218A2"/>
    <w:rsid w:val="00A2798A"/>
    <w:rsid w:val="00A34595"/>
    <w:rsid w:val="00A35229"/>
    <w:rsid w:val="00A36DF5"/>
    <w:rsid w:val="00A37F27"/>
    <w:rsid w:val="00A428B0"/>
    <w:rsid w:val="00A470EE"/>
    <w:rsid w:val="00A47A28"/>
    <w:rsid w:val="00A5071D"/>
    <w:rsid w:val="00A50D41"/>
    <w:rsid w:val="00A55E32"/>
    <w:rsid w:val="00A569C3"/>
    <w:rsid w:val="00A606A6"/>
    <w:rsid w:val="00A6303D"/>
    <w:rsid w:val="00A637A8"/>
    <w:rsid w:val="00A646DC"/>
    <w:rsid w:val="00A6490C"/>
    <w:rsid w:val="00A65E87"/>
    <w:rsid w:val="00A70827"/>
    <w:rsid w:val="00A72AC2"/>
    <w:rsid w:val="00A73C14"/>
    <w:rsid w:val="00A77620"/>
    <w:rsid w:val="00A808FF"/>
    <w:rsid w:val="00A84838"/>
    <w:rsid w:val="00A84EB0"/>
    <w:rsid w:val="00A8619F"/>
    <w:rsid w:val="00A86EE1"/>
    <w:rsid w:val="00A872C9"/>
    <w:rsid w:val="00A912A8"/>
    <w:rsid w:val="00A93E4E"/>
    <w:rsid w:val="00A94D4B"/>
    <w:rsid w:val="00A97ABE"/>
    <w:rsid w:val="00A97C64"/>
    <w:rsid w:val="00AA22D3"/>
    <w:rsid w:val="00AA35AE"/>
    <w:rsid w:val="00AA3E58"/>
    <w:rsid w:val="00AA5B03"/>
    <w:rsid w:val="00AA7848"/>
    <w:rsid w:val="00AB009A"/>
    <w:rsid w:val="00AB32F1"/>
    <w:rsid w:val="00AB4928"/>
    <w:rsid w:val="00AB6753"/>
    <w:rsid w:val="00AC3920"/>
    <w:rsid w:val="00AC4DBD"/>
    <w:rsid w:val="00AD331E"/>
    <w:rsid w:val="00AD6A55"/>
    <w:rsid w:val="00AD7610"/>
    <w:rsid w:val="00AE23AD"/>
    <w:rsid w:val="00AF0711"/>
    <w:rsid w:val="00AF0811"/>
    <w:rsid w:val="00AF223C"/>
    <w:rsid w:val="00AF26E1"/>
    <w:rsid w:val="00AF3E24"/>
    <w:rsid w:val="00AF4198"/>
    <w:rsid w:val="00AF79BF"/>
    <w:rsid w:val="00B02B5A"/>
    <w:rsid w:val="00B0416C"/>
    <w:rsid w:val="00B05B92"/>
    <w:rsid w:val="00B10CA4"/>
    <w:rsid w:val="00B12CC3"/>
    <w:rsid w:val="00B1446B"/>
    <w:rsid w:val="00B148E0"/>
    <w:rsid w:val="00B17CDA"/>
    <w:rsid w:val="00B20748"/>
    <w:rsid w:val="00B22140"/>
    <w:rsid w:val="00B234E1"/>
    <w:rsid w:val="00B24C7A"/>
    <w:rsid w:val="00B30699"/>
    <w:rsid w:val="00B31770"/>
    <w:rsid w:val="00B35885"/>
    <w:rsid w:val="00B362C9"/>
    <w:rsid w:val="00B3682A"/>
    <w:rsid w:val="00B374D5"/>
    <w:rsid w:val="00B37AB7"/>
    <w:rsid w:val="00B430EF"/>
    <w:rsid w:val="00B468A9"/>
    <w:rsid w:val="00B50BC6"/>
    <w:rsid w:val="00B546A1"/>
    <w:rsid w:val="00B5471F"/>
    <w:rsid w:val="00B612C4"/>
    <w:rsid w:val="00B63285"/>
    <w:rsid w:val="00B6736D"/>
    <w:rsid w:val="00B6747A"/>
    <w:rsid w:val="00B67DC4"/>
    <w:rsid w:val="00B709FD"/>
    <w:rsid w:val="00B72BD5"/>
    <w:rsid w:val="00B76003"/>
    <w:rsid w:val="00B80F97"/>
    <w:rsid w:val="00B84BC1"/>
    <w:rsid w:val="00B86809"/>
    <w:rsid w:val="00B912C0"/>
    <w:rsid w:val="00B9261B"/>
    <w:rsid w:val="00BA0D92"/>
    <w:rsid w:val="00BA1D92"/>
    <w:rsid w:val="00BA3070"/>
    <w:rsid w:val="00BA3CCF"/>
    <w:rsid w:val="00BA69CB"/>
    <w:rsid w:val="00BA715E"/>
    <w:rsid w:val="00BB15FF"/>
    <w:rsid w:val="00BB240A"/>
    <w:rsid w:val="00BB25A2"/>
    <w:rsid w:val="00BB2665"/>
    <w:rsid w:val="00BB3E32"/>
    <w:rsid w:val="00BB4597"/>
    <w:rsid w:val="00BB5352"/>
    <w:rsid w:val="00BB633E"/>
    <w:rsid w:val="00BB6EBF"/>
    <w:rsid w:val="00BB7B9A"/>
    <w:rsid w:val="00BC4A38"/>
    <w:rsid w:val="00BC50CD"/>
    <w:rsid w:val="00BC71FD"/>
    <w:rsid w:val="00BD1307"/>
    <w:rsid w:val="00BD2185"/>
    <w:rsid w:val="00BD29A9"/>
    <w:rsid w:val="00BD3464"/>
    <w:rsid w:val="00BD61FC"/>
    <w:rsid w:val="00BD7B2B"/>
    <w:rsid w:val="00BD7ECB"/>
    <w:rsid w:val="00BE348E"/>
    <w:rsid w:val="00BE487E"/>
    <w:rsid w:val="00BE66C6"/>
    <w:rsid w:val="00BF0EB2"/>
    <w:rsid w:val="00BF2134"/>
    <w:rsid w:val="00BF4D90"/>
    <w:rsid w:val="00BF53CF"/>
    <w:rsid w:val="00BF6D55"/>
    <w:rsid w:val="00BF6F64"/>
    <w:rsid w:val="00BF6FF3"/>
    <w:rsid w:val="00BF7103"/>
    <w:rsid w:val="00C0166D"/>
    <w:rsid w:val="00C02382"/>
    <w:rsid w:val="00C024CB"/>
    <w:rsid w:val="00C10BE4"/>
    <w:rsid w:val="00C11D9D"/>
    <w:rsid w:val="00C17581"/>
    <w:rsid w:val="00C20D34"/>
    <w:rsid w:val="00C239F7"/>
    <w:rsid w:val="00C249F8"/>
    <w:rsid w:val="00C3211B"/>
    <w:rsid w:val="00C35584"/>
    <w:rsid w:val="00C37088"/>
    <w:rsid w:val="00C37952"/>
    <w:rsid w:val="00C37F68"/>
    <w:rsid w:val="00C40D16"/>
    <w:rsid w:val="00C452D5"/>
    <w:rsid w:val="00C45F0A"/>
    <w:rsid w:val="00C46CF3"/>
    <w:rsid w:val="00C470F8"/>
    <w:rsid w:val="00C5090F"/>
    <w:rsid w:val="00C51414"/>
    <w:rsid w:val="00C51DE0"/>
    <w:rsid w:val="00C527DC"/>
    <w:rsid w:val="00C52A81"/>
    <w:rsid w:val="00C53B8D"/>
    <w:rsid w:val="00C53FF8"/>
    <w:rsid w:val="00C5402A"/>
    <w:rsid w:val="00C57BFE"/>
    <w:rsid w:val="00C57D1A"/>
    <w:rsid w:val="00C57FC9"/>
    <w:rsid w:val="00C6169E"/>
    <w:rsid w:val="00C649DE"/>
    <w:rsid w:val="00C65F91"/>
    <w:rsid w:val="00C72B4B"/>
    <w:rsid w:val="00C7354C"/>
    <w:rsid w:val="00C74BFD"/>
    <w:rsid w:val="00C75A77"/>
    <w:rsid w:val="00C7618E"/>
    <w:rsid w:val="00C80868"/>
    <w:rsid w:val="00C8119B"/>
    <w:rsid w:val="00C81F09"/>
    <w:rsid w:val="00C82172"/>
    <w:rsid w:val="00C8223C"/>
    <w:rsid w:val="00C85073"/>
    <w:rsid w:val="00C85A85"/>
    <w:rsid w:val="00C941A2"/>
    <w:rsid w:val="00C95E55"/>
    <w:rsid w:val="00CA1B40"/>
    <w:rsid w:val="00CA4BF0"/>
    <w:rsid w:val="00CB4687"/>
    <w:rsid w:val="00CB469E"/>
    <w:rsid w:val="00CB5DDC"/>
    <w:rsid w:val="00CB794B"/>
    <w:rsid w:val="00CC1A5D"/>
    <w:rsid w:val="00CC43E1"/>
    <w:rsid w:val="00CD4231"/>
    <w:rsid w:val="00CD6220"/>
    <w:rsid w:val="00CD657D"/>
    <w:rsid w:val="00CE09D5"/>
    <w:rsid w:val="00CE1E3C"/>
    <w:rsid w:val="00CE3456"/>
    <w:rsid w:val="00CE3BC3"/>
    <w:rsid w:val="00CE635A"/>
    <w:rsid w:val="00CE6E1C"/>
    <w:rsid w:val="00CF559D"/>
    <w:rsid w:val="00CF7234"/>
    <w:rsid w:val="00D00AB1"/>
    <w:rsid w:val="00D01D70"/>
    <w:rsid w:val="00D05833"/>
    <w:rsid w:val="00D12C47"/>
    <w:rsid w:val="00D13E7B"/>
    <w:rsid w:val="00D226CA"/>
    <w:rsid w:val="00D22CEF"/>
    <w:rsid w:val="00D26585"/>
    <w:rsid w:val="00D26EF1"/>
    <w:rsid w:val="00D328F8"/>
    <w:rsid w:val="00D400B9"/>
    <w:rsid w:val="00D409AA"/>
    <w:rsid w:val="00D41F59"/>
    <w:rsid w:val="00D4319C"/>
    <w:rsid w:val="00D475A4"/>
    <w:rsid w:val="00D5182A"/>
    <w:rsid w:val="00D52E66"/>
    <w:rsid w:val="00D554DF"/>
    <w:rsid w:val="00D56BDB"/>
    <w:rsid w:val="00D62112"/>
    <w:rsid w:val="00D65C8D"/>
    <w:rsid w:val="00D70B57"/>
    <w:rsid w:val="00D72387"/>
    <w:rsid w:val="00D73306"/>
    <w:rsid w:val="00D7406C"/>
    <w:rsid w:val="00D74F73"/>
    <w:rsid w:val="00D77FED"/>
    <w:rsid w:val="00D8148B"/>
    <w:rsid w:val="00D85693"/>
    <w:rsid w:val="00D87CF5"/>
    <w:rsid w:val="00D96DF5"/>
    <w:rsid w:val="00DA1444"/>
    <w:rsid w:val="00DA4E69"/>
    <w:rsid w:val="00DB0236"/>
    <w:rsid w:val="00DB1286"/>
    <w:rsid w:val="00DB2B36"/>
    <w:rsid w:val="00DB342A"/>
    <w:rsid w:val="00DB3535"/>
    <w:rsid w:val="00DB4BB1"/>
    <w:rsid w:val="00DC02FE"/>
    <w:rsid w:val="00DC08F3"/>
    <w:rsid w:val="00DC23BA"/>
    <w:rsid w:val="00DC2695"/>
    <w:rsid w:val="00DC53AB"/>
    <w:rsid w:val="00DC5C74"/>
    <w:rsid w:val="00DC76B3"/>
    <w:rsid w:val="00DE0557"/>
    <w:rsid w:val="00DE1EDC"/>
    <w:rsid w:val="00DE2451"/>
    <w:rsid w:val="00DE3C52"/>
    <w:rsid w:val="00DE4413"/>
    <w:rsid w:val="00DE4E05"/>
    <w:rsid w:val="00DF0AA8"/>
    <w:rsid w:val="00DF10B5"/>
    <w:rsid w:val="00DF1FBE"/>
    <w:rsid w:val="00DF296E"/>
    <w:rsid w:val="00DF525C"/>
    <w:rsid w:val="00DF5399"/>
    <w:rsid w:val="00E03A61"/>
    <w:rsid w:val="00E04765"/>
    <w:rsid w:val="00E07865"/>
    <w:rsid w:val="00E10B95"/>
    <w:rsid w:val="00E10F48"/>
    <w:rsid w:val="00E15AE6"/>
    <w:rsid w:val="00E1738D"/>
    <w:rsid w:val="00E223F8"/>
    <w:rsid w:val="00E22E70"/>
    <w:rsid w:val="00E245AF"/>
    <w:rsid w:val="00E26417"/>
    <w:rsid w:val="00E30C3D"/>
    <w:rsid w:val="00E320F8"/>
    <w:rsid w:val="00E321B5"/>
    <w:rsid w:val="00E33AB5"/>
    <w:rsid w:val="00E3605A"/>
    <w:rsid w:val="00E36308"/>
    <w:rsid w:val="00E36C7F"/>
    <w:rsid w:val="00E40D4C"/>
    <w:rsid w:val="00E448C4"/>
    <w:rsid w:val="00E45637"/>
    <w:rsid w:val="00E458D8"/>
    <w:rsid w:val="00E465BD"/>
    <w:rsid w:val="00E474E1"/>
    <w:rsid w:val="00E5156B"/>
    <w:rsid w:val="00E51DD5"/>
    <w:rsid w:val="00E52B18"/>
    <w:rsid w:val="00E5309B"/>
    <w:rsid w:val="00E539AE"/>
    <w:rsid w:val="00E540B9"/>
    <w:rsid w:val="00E56F5B"/>
    <w:rsid w:val="00E6102B"/>
    <w:rsid w:val="00E76BD8"/>
    <w:rsid w:val="00E77B92"/>
    <w:rsid w:val="00E80586"/>
    <w:rsid w:val="00E81595"/>
    <w:rsid w:val="00E81823"/>
    <w:rsid w:val="00E8634F"/>
    <w:rsid w:val="00E91E1F"/>
    <w:rsid w:val="00E96DA0"/>
    <w:rsid w:val="00E973D5"/>
    <w:rsid w:val="00EA2BF1"/>
    <w:rsid w:val="00EA359E"/>
    <w:rsid w:val="00EA5FBD"/>
    <w:rsid w:val="00EA6DDE"/>
    <w:rsid w:val="00EA71C6"/>
    <w:rsid w:val="00EA78D3"/>
    <w:rsid w:val="00EB03CC"/>
    <w:rsid w:val="00EB04EC"/>
    <w:rsid w:val="00EB0F3C"/>
    <w:rsid w:val="00EB21BC"/>
    <w:rsid w:val="00EB368F"/>
    <w:rsid w:val="00EC0935"/>
    <w:rsid w:val="00EC16E2"/>
    <w:rsid w:val="00EC2FD4"/>
    <w:rsid w:val="00EC34AD"/>
    <w:rsid w:val="00EC7B55"/>
    <w:rsid w:val="00ED11A4"/>
    <w:rsid w:val="00ED2F74"/>
    <w:rsid w:val="00ED6FD3"/>
    <w:rsid w:val="00EE0A8F"/>
    <w:rsid w:val="00EE1250"/>
    <w:rsid w:val="00EE1346"/>
    <w:rsid w:val="00EE2070"/>
    <w:rsid w:val="00EE2179"/>
    <w:rsid w:val="00EE3B75"/>
    <w:rsid w:val="00EE66F8"/>
    <w:rsid w:val="00EE762B"/>
    <w:rsid w:val="00EF233B"/>
    <w:rsid w:val="00EF4BCA"/>
    <w:rsid w:val="00EF664E"/>
    <w:rsid w:val="00F00BD9"/>
    <w:rsid w:val="00F07D82"/>
    <w:rsid w:val="00F11495"/>
    <w:rsid w:val="00F1797C"/>
    <w:rsid w:val="00F21739"/>
    <w:rsid w:val="00F21AE6"/>
    <w:rsid w:val="00F227E6"/>
    <w:rsid w:val="00F22B26"/>
    <w:rsid w:val="00F24A63"/>
    <w:rsid w:val="00F261DF"/>
    <w:rsid w:val="00F31064"/>
    <w:rsid w:val="00F31146"/>
    <w:rsid w:val="00F344DE"/>
    <w:rsid w:val="00F34D3F"/>
    <w:rsid w:val="00F35B4C"/>
    <w:rsid w:val="00F37807"/>
    <w:rsid w:val="00F40019"/>
    <w:rsid w:val="00F419BF"/>
    <w:rsid w:val="00F42C5D"/>
    <w:rsid w:val="00F445CA"/>
    <w:rsid w:val="00F516E9"/>
    <w:rsid w:val="00F528BB"/>
    <w:rsid w:val="00F63CEB"/>
    <w:rsid w:val="00F642FD"/>
    <w:rsid w:val="00F65CB7"/>
    <w:rsid w:val="00F67E98"/>
    <w:rsid w:val="00F70A8B"/>
    <w:rsid w:val="00F722F1"/>
    <w:rsid w:val="00F74DDD"/>
    <w:rsid w:val="00F75897"/>
    <w:rsid w:val="00F76E69"/>
    <w:rsid w:val="00F8033B"/>
    <w:rsid w:val="00F804B0"/>
    <w:rsid w:val="00F813F2"/>
    <w:rsid w:val="00F83D30"/>
    <w:rsid w:val="00F842D5"/>
    <w:rsid w:val="00F84CB1"/>
    <w:rsid w:val="00F85A4B"/>
    <w:rsid w:val="00F91D83"/>
    <w:rsid w:val="00F92224"/>
    <w:rsid w:val="00F9265F"/>
    <w:rsid w:val="00F92A7E"/>
    <w:rsid w:val="00FA15A4"/>
    <w:rsid w:val="00FA229B"/>
    <w:rsid w:val="00FB1ECE"/>
    <w:rsid w:val="00FB2B28"/>
    <w:rsid w:val="00FB48AC"/>
    <w:rsid w:val="00FB4FDA"/>
    <w:rsid w:val="00FB602B"/>
    <w:rsid w:val="00FB74D6"/>
    <w:rsid w:val="00FC0751"/>
    <w:rsid w:val="00FC0E3A"/>
    <w:rsid w:val="00FC33FF"/>
    <w:rsid w:val="00FC41B2"/>
    <w:rsid w:val="00FC63B7"/>
    <w:rsid w:val="00FD17C1"/>
    <w:rsid w:val="00FD370A"/>
    <w:rsid w:val="00FE28DA"/>
    <w:rsid w:val="00FE2A3B"/>
    <w:rsid w:val="00FE2CD5"/>
    <w:rsid w:val="00FE36AE"/>
    <w:rsid w:val="00FE5428"/>
    <w:rsid w:val="00FE7275"/>
    <w:rsid w:val="00FF2B3D"/>
    <w:rsid w:val="00FF6494"/>
    <w:rsid w:val="00FF71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8307D"/>
  <w15:docId w15:val="{A6324F26-EE47-48B0-B02A-86C1F050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ajorBidi"/>
        <w:sz w:val="24"/>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1DF"/>
  </w:style>
  <w:style w:type="paragraph" w:styleId="Heading1">
    <w:name w:val="heading 1"/>
    <w:basedOn w:val="Normal"/>
    <w:next w:val="Normal"/>
    <w:link w:val="Heading1Char"/>
    <w:uiPriority w:val="9"/>
    <w:qFormat/>
    <w:rsid w:val="00F528BB"/>
    <w:pPr>
      <w:spacing w:before="48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528BB"/>
    <w:pPr>
      <w:spacing w:before="200" w:line="271" w:lineRule="auto"/>
      <w:outlineLvl w:val="1"/>
    </w:pPr>
    <w:rPr>
      <w:smallCaps/>
      <w:sz w:val="28"/>
      <w:szCs w:val="28"/>
    </w:rPr>
  </w:style>
  <w:style w:type="paragraph" w:styleId="Heading3">
    <w:name w:val="heading 3"/>
    <w:basedOn w:val="Normal"/>
    <w:next w:val="Normal"/>
    <w:link w:val="Heading3Char"/>
    <w:uiPriority w:val="9"/>
    <w:unhideWhenUsed/>
    <w:qFormat/>
    <w:rsid w:val="00F528BB"/>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528BB"/>
    <w:pPr>
      <w:spacing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528BB"/>
    <w:pPr>
      <w:spacing w:line="271" w:lineRule="auto"/>
      <w:outlineLvl w:val="4"/>
    </w:pPr>
    <w:rPr>
      <w:i/>
      <w:iCs/>
      <w:szCs w:val="24"/>
    </w:rPr>
  </w:style>
  <w:style w:type="paragraph" w:styleId="Heading6">
    <w:name w:val="heading 6"/>
    <w:basedOn w:val="Normal"/>
    <w:next w:val="Normal"/>
    <w:link w:val="Heading6Char"/>
    <w:uiPriority w:val="9"/>
    <w:semiHidden/>
    <w:unhideWhenUsed/>
    <w:qFormat/>
    <w:rsid w:val="00F528BB"/>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528BB"/>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528BB"/>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528BB"/>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2F1291"/>
    <w:pPr>
      <w:framePr w:wrap="around" w:vAnchor="text" w:hAnchor="text" w:y="1"/>
    </w:pPr>
    <w:rPr>
      <w:rFonts w:eastAsiaTheme="majorEastAsia" w:cs="Times New Roman"/>
      <w:bCs/>
      <w:lang w:val="en-GB"/>
    </w:rPr>
  </w:style>
  <w:style w:type="character" w:customStyle="1" w:styleId="Heading1Char">
    <w:name w:val="Heading 1 Char"/>
    <w:basedOn w:val="DefaultParagraphFont"/>
    <w:link w:val="Heading1"/>
    <w:uiPriority w:val="9"/>
    <w:rsid w:val="00F528BB"/>
    <w:rPr>
      <w:smallCaps/>
      <w:spacing w:val="5"/>
      <w:sz w:val="36"/>
      <w:szCs w:val="36"/>
    </w:rPr>
  </w:style>
  <w:style w:type="character" w:customStyle="1" w:styleId="Heading2Char">
    <w:name w:val="Heading 2 Char"/>
    <w:basedOn w:val="DefaultParagraphFont"/>
    <w:link w:val="Heading2"/>
    <w:uiPriority w:val="9"/>
    <w:rsid w:val="00F528BB"/>
    <w:rPr>
      <w:smallCaps/>
      <w:sz w:val="28"/>
      <w:szCs w:val="28"/>
    </w:rPr>
  </w:style>
  <w:style w:type="character" w:customStyle="1" w:styleId="Heading3Char">
    <w:name w:val="Heading 3 Char"/>
    <w:basedOn w:val="DefaultParagraphFont"/>
    <w:link w:val="Heading3"/>
    <w:uiPriority w:val="9"/>
    <w:rsid w:val="00F528BB"/>
    <w:rPr>
      <w:i/>
      <w:iCs/>
      <w:smallCaps/>
      <w:spacing w:val="5"/>
      <w:sz w:val="26"/>
      <w:szCs w:val="26"/>
    </w:rPr>
  </w:style>
  <w:style w:type="character" w:customStyle="1" w:styleId="Heading4Char">
    <w:name w:val="Heading 4 Char"/>
    <w:basedOn w:val="DefaultParagraphFont"/>
    <w:link w:val="Heading4"/>
    <w:uiPriority w:val="9"/>
    <w:semiHidden/>
    <w:rsid w:val="00F528BB"/>
    <w:rPr>
      <w:b/>
      <w:bCs/>
      <w:spacing w:val="5"/>
      <w:sz w:val="24"/>
      <w:szCs w:val="24"/>
    </w:rPr>
  </w:style>
  <w:style w:type="character" w:customStyle="1" w:styleId="Heading5Char">
    <w:name w:val="Heading 5 Char"/>
    <w:basedOn w:val="DefaultParagraphFont"/>
    <w:link w:val="Heading5"/>
    <w:uiPriority w:val="9"/>
    <w:semiHidden/>
    <w:rsid w:val="00F528BB"/>
    <w:rPr>
      <w:i/>
      <w:iCs/>
      <w:sz w:val="24"/>
      <w:szCs w:val="24"/>
    </w:rPr>
  </w:style>
  <w:style w:type="character" w:customStyle="1" w:styleId="Heading6Char">
    <w:name w:val="Heading 6 Char"/>
    <w:basedOn w:val="DefaultParagraphFont"/>
    <w:link w:val="Heading6"/>
    <w:uiPriority w:val="9"/>
    <w:semiHidden/>
    <w:rsid w:val="00F528B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528B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528BB"/>
    <w:rPr>
      <w:b/>
      <w:bCs/>
      <w:color w:val="7F7F7F" w:themeColor="text1" w:themeTint="80"/>
      <w:sz w:val="20"/>
      <w:szCs w:val="20"/>
    </w:rPr>
  </w:style>
  <w:style w:type="character" w:customStyle="1" w:styleId="Heading9Char">
    <w:name w:val="Heading 9 Char"/>
    <w:basedOn w:val="DefaultParagraphFont"/>
    <w:link w:val="Heading9"/>
    <w:uiPriority w:val="9"/>
    <w:semiHidden/>
    <w:rsid w:val="00F528BB"/>
    <w:rPr>
      <w:b/>
      <w:bCs/>
      <w:i/>
      <w:iCs/>
      <w:color w:val="7F7F7F" w:themeColor="text1" w:themeTint="80"/>
      <w:sz w:val="18"/>
      <w:szCs w:val="18"/>
    </w:rPr>
  </w:style>
  <w:style w:type="paragraph" w:styleId="Title">
    <w:name w:val="Title"/>
    <w:basedOn w:val="Normal"/>
    <w:next w:val="Normal"/>
    <w:link w:val="TitleChar"/>
    <w:uiPriority w:val="10"/>
    <w:qFormat/>
    <w:rsid w:val="00F528BB"/>
    <w:pPr>
      <w:spacing w:after="300"/>
      <w:contextualSpacing/>
    </w:pPr>
    <w:rPr>
      <w:smallCaps/>
      <w:sz w:val="52"/>
      <w:szCs w:val="52"/>
    </w:rPr>
  </w:style>
  <w:style w:type="character" w:customStyle="1" w:styleId="TitleChar">
    <w:name w:val="Title Char"/>
    <w:basedOn w:val="DefaultParagraphFont"/>
    <w:link w:val="Title"/>
    <w:uiPriority w:val="10"/>
    <w:rsid w:val="00F528BB"/>
    <w:rPr>
      <w:smallCaps/>
      <w:sz w:val="52"/>
      <w:szCs w:val="52"/>
    </w:rPr>
  </w:style>
  <w:style w:type="paragraph" w:styleId="Subtitle">
    <w:name w:val="Subtitle"/>
    <w:basedOn w:val="Normal"/>
    <w:next w:val="Normal"/>
    <w:link w:val="SubtitleChar"/>
    <w:uiPriority w:val="11"/>
    <w:qFormat/>
    <w:rsid w:val="00F528BB"/>
    <w:rPr>
      <w:i/>
      <w:iCs/>
      <w:smallCaps/>
      <w:spacing w:val="10"/>
      <w:sz w:val="28"/>
      <w:szCs w:val="28"/>
    </w:rPr>
  </w:style>
  <w:style w:type="character" w:customStyle="1" w:styleId="SubtitleChar">
    <w:name w:val="Subtitle Char"/>
    <w:basedOn w:val="DefaultParagraphFont"/>
    <w:link w:val="Subtitle"/>
    <w:uiPriority w:val="11"/>
    <w:rsid w:val="00F528BB"/>
    <w:rPr>
      <w:i/>
      <w:iCs/>
      <w:smallCaps/>
      <w:spacing w:val="10"/>
      <w:sz w:val="28"/>
      <w:szCs w:val="28"/>
    </w:rPr>
  </w:style>
  <w:style w:type="character" w:styleId="Strong">
    <w:name w:val="Strong"/>
    <w:uiPriority w:val="22"/>
    <w:qFormat/>
    <w:rsid w:val="00F528BB"/>
    <w:rPr>
      <w:b/>
      <w:bCs/>
    </w:rPr>
  </w:style>
  <w:style w:type="character" w:styleId="Emphasis">
    <w:name w:val="Emphasis"/>
    <w:uiPriority w:val="20"/>
    <w:qFormat/>
    <w:rsid w:val="00F528BB"/>
    <w:rPr>
      <w:b/>
      <w:bCs/>
      <w:i/>
      <w:iCs/>
      <w:spacing w:val="10"/>
    </w:rPr>
  </w:style>
  <w:style w:type="paragraph" w:styleId="ListParagraph">
    <w:name w:val="List Paragraph"/>
    <w:basedOn w:val="Normal"/>
    <w:autoRedefine/>
    <w:uiPriority w:val="34"/>
    <w:qFormat/>
    <w:rsid w:val="00EE762B"/>
    <w:pPr>
      <w:contextualSpacing/>
    </w:pPr>
    <w:rPr>
      <w:sz w:val="20"/>
    </w:rPr>
  </w:style>
  <w:style w:type="paragraph" w:styleId="Quote">
    <w:name w:val="Quote"/>
    <w:basedOn w:val="Normal"/>
    <w:next w:val="Normal"/>
    <w:link w:val="QuoteChar"/>
    <w:uiPriority w:val="29"/>
    <w:qFormat/>
    <w:rsid w:val="00F528BB"/>
    <w:rPr>
      <w:i/>
      <w:iCs/>
    </w:rPr>
  </w:style>
  <w:style w:type="character" w:customStyle="1" w:styleId="QuoteChar">
    <w:name w:val="Quote Char"/>
    <w:basedOn w:val="DefaultParagraphFont"/>
    <w:link w:val="Quote"/>
    <w:uiPriority w:val="29"/>
    <w:rsid w:val="00F528BB"/>
    <w:rPr>
      <w:i/>
      <w:iCs/>
    </w:rPr>
  </w:style>
  <w:style w:type="paragraph" w:styleId="IntenseQuote">
    <w:name w:val="Intense Quote"/>
    <w:basedOn w:val="Normal"/>
    <w:next w:val="Normal"/>
    <w:link w:val="IntenseQuoteChar"/>
    <w:uiPriority w:val="30"/>
    <w:qFormat/>
    <w:rsid w:val="00F528B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528BB"/>
    <w:rPr>
      <w:i/>
      <w:iCs/>
    </w:rPr>
  </w:style>
  <w:style w:type="character" w:styleId="SubtleEmphasis">
    <w:name w:val="Subtle Emphasis"/>
    <w:uiPriority w:val="19"/>
    <w:qFormat/>
    <w:rsid w:val="00F528BB"/>
    <w:rPr>
      <w:i/>
      <w:iCs/>
    </w:rPr>
  </w:style>
  <w:style w:type="character" w:styleId="IntenseEmphasis">
    <w:name w:val="Intense Emphasis"/>
    <w:uiPriority w:val="21"/>
    <w:qFormat/>
    <w:rsid w:val="00F528BB"/>
    <w:rPr>
      <w:b/>
      <w:bCs/>
      <w:i/>
      <w:iCs/>
    </w:rPr>
  </w:style>
  <w:style w:type="character" w:styleId="SubtleReference">
    <w:name w:val="Subtle Reference"/>
    <w:basedOn w:val="DefaultParagraphFont"/>
    <w:uiPriority w:val="31"/>
    <w:qFormat/>
    <w:rsid w:val="00F528BB"/>
    <w:rPr>
      <w:smallCaps/>
    </w:rPr>
  </w:style>
  <w:style w:type="character" w:styleId="IntenseReference">
    <w:name w:val="Intense Reference"/>
    <w:uiPriority w:val="32"/>
    <w:qFormat/>
    <w:rsid w:val="00F528BB"/>
    <w:rPr>
      <w:b/>
      <w:bCs/>
      <w:smallCaps/>
    </w:rPr>
  </w:style>
  <w:style w:type="character" w:styleId="BookTitle">
    <w:name w:val="Book Title"/>
    <w:basedOn w:val="DefaultParagraphFont"/>
    <w:uiPriority w:val="33"/>
    <w:qFormat/>
    <w:rsid w:val="00F528BB"/>
    <w:rPr>
      <w:i/>
      <w:iCs/>
      <w:smallCaps/>
      <w:spacing w:val="5"/>
    </w:rPr>
  </w:style>
  <w:style w:type="paragraph" w:styleId="TOCHeading">
    <w:name w:val="TOC Heading"/>
    <w:basedOn w:val="Heading1"/>
    <w:next w:val="Normal"/>
    <w:uiPriority w:val="39"/>
    <w:semiHidden/>
    <w:unhideWhenUsed/>
    <w:qFormat/>
    <w:rsid w:val="00F528BB"/>
    <w:pPr>
      <w:outlineLvl w:val="9"/>
    </w:pPr>
  </w:style>
  <w:style w:type="paragraph" w:styleId="BalloonText">
    <w:name w:val="Balloon Text"/>
    <w:basedOn w:val="Normal"/>
    <w:link w:val="BalloonTextChar"/>
    <w:uiPriority w:val="99"/>
    <w:semiHidden/>
    <w:unhideWhenUsed/>
    <w:rsid w:val="007D25CE"/>
    <w:rPr>
      <w:rFonts w:ascii="Tahoma" w:hAnsi="Tahoma" w:cs="Tahoma"/>
      <w:sz w:val="16"/>
      <w:szCs w:val="16"/>
    </w:rPr>
  </w:style>
  <w:style w:type="character" w:customStyle="1" w:styleId="BalloonTextChar">
    <w:name w:val="Balloon Text Char"/>
    <w:basedOn w:val="DefaultParagraphFont"/>
    <w:link w:val="BalloonText"/>
    <w:uiPriority w:val="99"/>
    <w:semiHidden/>
    <w:rsid w:val="007D25CE"/>
    <w:rPr>
      <w:rFonts w:ascii="Tahoma" w:hAnsi="Tahoma" w:cs="Tahoma"/>
      <w:sz w:val="16"/>
      <w:szCs w:val="16"/>
    </w:rPr>
  </w:style>
  <w:style w:type="character" w:styleId="CommentReference">
    <w:name w:val="annotation reference"/>
    <w:basedOn w:val="DefaultParagraphFont"/>
    <w:uiPriority w:val="99"/>
    <w:semiHidden/>
    <w:unhideWhenUsed/>
    <w:rsid w:val="007A3F53"/>
    <w:rPr>
      <w:sz w:val="16"/>
      <w:szCs w:val="16"/>
    </w:rPr>
  </w:style>
  <w:style w:type="paragraph" w:styleId="CommentText">
    <w:name w:val="annotation text"/>
    <w:basedOn w:val="Normal"/>
    <w:link w:val="CommentTextChar"/>
    <w:uiPriority w:val="99"/>
    <w:unhideWhenUsed/>
    <w:rsid w:val="007A3F53"/>
    <w:rPr>
      <w:sz w:val="20"/>
      <w:szCs w:val="20"/>
    </w:rPr>
  </w:style>
  <w:style w:type="character" w:customStyle="1" w:styleId="CommentTextChar">
    <w:name w:val="Comment Text Char"/>
    <w:basedOn w:val="DefaultParagraphFont"/>
    <w:link w:val="CommentText"/>
    <w:uiPriority w:val="99"/>
    <w:rsid w:val="007A3F53"/>
    <w:rPr>
      <w:sz w:val="20"/>
      <w:szCs w:val="20"/>
    </w:rPr>
  </w:style>
  <w:style w:type="paragraph" w:styleId="CommentSubject">
    <w:name w:val="annotation subject"/>
    <w:basedOn w:val="CommentText"/>
    <w:next w:val="CommentText"/>
    <w:link w:val="CommentSubjectChar"/>
    <w:uiPriority w:val="99"/>
    <w:semiHidden/>
    <w:unhideWhenUsed/>
    <w:rsid w:val="007A3F53"/>
    <w:rPr>
      <w:b/>
      <w:bCs/>
    </w:rPr>
  </w:style>
  <w:style w:type="character" w:customStyle="1" w:styleId="CommentSubjectChar">
    <w:name w:val="Comment Subject Char"/>
    <w:basedOn w:val="CommentTextChar"/>
    <w:link w:val="CommentSubject"/>
    <w:uiPriority w:val="99"/>
    <w:semiHidden/>
    <w:rsid w:val="007A3F53"/>
    <w:rPr>
      <w:b/>
      <w:bCs/>
      <w:sz w:val="20"/>
      <w:szCs w:val="20"/>
    </w:rPr>
  </w:style>
  <w:style w:type="paragraph" w:styleId="DocumentMap">
    <w:name w:val="Document Map"/>
    <w:basedOn w:val="Normal"/>
    <w:link w:val="DocumentMapChar"/>
    <w:uiPriority w:val="99"/>
    <w:semiHidden/>
    <w:unhideWhenUsed/>
    <w:rsid w:val="007030EA"/>
    <w:rPr>
      <w:rFonts w:ascii="Tahoma" w:hAnsi="Tahoma" w:cs="Tahoma"/>
      <w:sz w:val="16"/>
      <w:szCs w:val="16"/>
    </w:rPr>
  </w:style>
  <w:style w:type="character" w:customStyle="1" w:styleId="DocumentMapChar">
    <w:name w:val="Document Map Char"/>
    <w:basedOn w:val="DefaultParagraphFont"/>
    <w:link w:val="DocumentMap"/>
    <w:uiPriority w:val="99"/>
    <w:semiHidden/>
    <w:rsid w:val="007030EA"/>
    <w:rPr>
      <w:rFonts w:ascii="Tahoma" w:hAnsi="Tahoma" w:cs="Tahoma"/>
      <w:sz w:val="16"/>
      <w:szCs w:val="16"/>
    </w:rPr>
  </w:style>
  <w:style w:type="table" w:styleId="TableGrid">
    <w:name w:val="Table Grid"/>
    <w:basedOn w:val="TableNormal"/>
    <w:uiPriority w:val="59"/>
    <w:rsid w:val="00703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E5E59"/>
  </w:style>
  <w:style w:type="character" w:styleId="Hyperlink">
    <w:name w:val="Hyperlink"/>
    <w:basedOn w:val="DefaultParagraphFont"/>
    <w:uiPriority w:val="99"/>
    <w:unhideWhenUsed/>
    <w:rsid w:val="002122C6"/>
    <w:rPr>
      <w:color w:val="0000FF" w:themeColor="hyperlink"/>
      <w:u w:val="single"/>
    </w:rPr>
  </w:style>
  <w:style w:type="paragraph" w:styleId="FootnoteText">
    <w:name w:val="footnote text"/>
    <w:basedOn w:val="Normal"/>
    <w:link w:val="FootnoteTextChar"/>
    <w:uiPriority w:val="99"/>
    <w:semiHidden/>
    <w:unhideWhenUsed/>
    <w:rsid w:val="00A218A2"/>
    <w:rPr>
      <w:sz w:val="20"/>
      <w:szCs w:val="20"/>
    </w:rPr>
  </w:style>
  <w:style w:type="character" w:customStyle="1" w:styleId="FootnoteTextChar">
    <w:name w:val="Footnote Text Char"/>
    <w:basedOn w:val="DefaultParagraphFont"/>
    <w:link w:val="FootnoteText"/>
    <w:uiPriority w:val="99"/>
    <w:semiHidden/>
    <w:rsid w:val="00A218A2"/>
    <w:rPr>
      <w:sz w:val="20"/>
      <w:szCs w:val="20"/>
    </w:rPr>
  </w:style>
  <w:style w:type="character" w:styleId="FootnoteReference">
    <w:name w:val="footnote reference"/>
    <w:basedOn w:val="DefaultParagraphFont"/>
    <w:uiPriority w:val="99"/>
    <w:semiHidden/>
    <w:unhideWhenUsed/>
    <w:rsid w:val="00A218A2"/>
    <w:rPr>
      <w:vertAlign w:val="superscript"/>
    </w:rPr>
  </w:style>
  <w:style w:type="paragraph" w:styleId="Header">
    <w:name w:val="header"/>
    <w:basedOn w:val="Normal"/>
    <w:link w:val="HeaderChar"/>
    <w:uiPriority w:val="99"/>
    <w:unhideWhenUsed/>
    <w:rsid w:val="003A66A5"/>
    <w:pPr>
      <w:tabs>
        <w:tab w:val="center" w:pos="4513"/>
        <w:tab w:val="right" w:pos="9026"/>
      </w:tabs>
    </w:pPr>
  </w:style>
  <w:style w:type="character" w:customStyle="1" w:styleId="HeaderChar">
    <w:name w:val="Header Char"/>
    <w:basedOn w:val="DefaultParagraphFont"/>
    <w:link w:val="Header"/>
    <w:uiPriority w:val="99"/>
    <w:rsid w:val="003A66A5"/>
  </w:style>
  <w:style w:type="paragraph" w:styleId="Footer">
    <w:name w:val="footer"/>
    <w:basedOn w:val="Normal"/>
    <w:link w:val="FooterChar"/>
    <w:uiPriority w:val="99"/>
    <w:unhideWhenUsed/>
    <w:rsid w:val="003A66A5"/>
    <w:pPr>
      <w:tabs>
        <w:tab w:val="center" w:pos="4513"/>
        <w:tab w:val="right" w:pos="9026"/>
      </w:tabs>
    </w:pPr>
  </w:style>
  <w:style w:type="character" w:customStyle="1" w:styleId="FooterChar">
    <w:name w:val="Footer Char"/>
    <w:basedOn w:val="DefaultParagraphFont"/>
    <w:link w:val="Footer"/>
    <w:uiPriority w:val="99"/>
    <w:rsid w:val="003A66A5"/>
  </w:style>
  <w:style w:type="character" w:styleId="PlaceholderText">
    <w:name w:val="Placeholder Text"/>
    <w:basedOn w:val="DefaultParagraphFont"/>
    <w:uiPriority w:val="99"/>
    <w:semiHidden/>
    <w:rsid w:val="00657053"/>
    <w:rPr>
      <w:color w:val="808080"/>
    </w:rPr>
  </w:style>
  <w:style w:type="character" w:styleId="LineNumber">
    <w:name w:val="line number"/>
    <w:basedOn w:val="DefaultParagraphFont"/>
    <w:uiPriority w:val="99"/>
    <w:semiHidden/>
    <w:unhideWhenUsed/>
    <w:rsid w:val="00BD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032">
      <w:bodyDiv w:val="1"/>
      <w:marLeft w:val="0"/>
      <w:marRight w:val="0"/>
      <w:marTop w:val="0"/>
      <w:marBottom w:val="0"/>
      <w:divBdr>
        <w:top w:val="none" w:sz="0" w:space="0" w:color="auto"/>
        <w:left w:val="none" w:sz="0" w:space="0" w:color="auto"/>
        <w:bottom w:val="none" w:sz="0" w:space="0" w:color="auto"/>
        <w:right w:val="none" w:sz="0" w:space="0" w:color="auto"/>
      </w:divBdr>
      <w:divsChild>
        <w:div w:id="525364378">
          <w:marLeft w:val="0"/>
          <w:marRight w:val="0"/>
          <w:marTop w:val="0"/>
          <w:marBottom w:val="0"/>
          <w:divBdr>
            <w:top w:val="none" w:sz="0" w:space="0" w:color="auto"/>
            <w:left w:val="none" w:sz="0" w:space="0" w:color="auto"/>
            <w:bottom w:val="none" w:sz="0" w:space="0" w:color="auto"/>
            <w:right w:val="none" w:sz="0" w:space="0" w:color="auto"/>
          </w:divBdr>
        </w:div>
      </w:divsChild>
    </w:div>
    <w:div w:id="311712435">
      <w:bodyDiv w:val="1"/>
      <w:marLeft w:val="0"/>
      <w:marRight w:val="0"/>
      <w:marTop w:val="0"/>
      <w:marBottom w:val="0"/>
      <w:divBdr>
        <w:top w:val="none" w:sz="0" w:space="0" w:color="auto"/>
        <w:left w:val="none" w:sz="0" w:space="0" w:color="auto"/>
        <w:bottom w:val="none" w:sz="0" w:space="0" w:color="auto"/>
        <w:right w:val="none" w:sz="0" w:space="0" w:color="auto"/>
      </w:divBdr>
    </w:div>
    <w:div w:id="513417130">
      <w:bodyDiv w:val="1"/>
      <w:marLeft w:val="0"/>
      <w:marRight w:val="0"/>
      <w:marTop w:val="0"/>
      <w:marBottom w:val="0"/>
      <w:divBdr>
        <w:top w:val="none" w:sz="0" w:space="0" w:color="auto"/>
        <w:left w:val="none" w:sz="0" w:space="0" w:color="auto"/>
        <w:bottom w:val="none" w:sz="0" w:space="0" w:color="auto"/>
        <w:right w:val="none" w:sz="0" w:space="0" w:color="auto"/>
      </w:divBdr>
      <w:divsChild>
        <w:div w:id="1029337784">
          <w:marLeft w:val="0"/>
          <w:marRight w:val="0"/>
          <w:marTop w:val="0"/>
          <w:marBottom w:val="0"/>
          <w:divBdr>
            <w:top w:val="none" w:sz="0" w:space="0" w:color="auto"/>
            <w:left w:val="none" w:sz="0" w:space="0" w:color="auto"/>
            <w:bottom w:val="none" w:sz="0" w:space="0" w:color="auto"/>
            <w:right w:val="none" w:sz="0" w:space="0" w:color="auto"/>
          </w:divBdr>
          <w:divsChild>
            <w:div w:id="186450925">
              <w:marLeft w:val="0"/>
              <w:marRight w:val="0"/>
              <w:marTop w:val="0"/>
              <w:marBottom w:val="0"/>
              <w:divBdr>
                <w:top w:val="none" w:sz="0" w:space="0" w:color="auto"/>
                <w:left w:val="none" w:sz="0" w:space="0" w:color="auto"/>
                <w:bottom w:val="none" w:sz="0" w:space="0" w:color="auto"/>
                <w:right w:val="none" w:sz="0" w:space="0" w:color="auto"/>
              </w:divBdr>
            </w:div>
            <w:div w:id="361515655">
              <w:marLeft w:val="0"/>
              <w:marRight w:val="0"/>
              <w:marTop w:val="0"/>
              <w:marBottom w:val="0"/>
              <w:divBdr>
                <w:top w:val="none" w:sz="0" w:space="0" w:color="auto"/>
                <w:left w:val="none" w:sz="0" w:space="0" w:color="auto"/>
                <w:bottom w:val="none" w:sz="0" w:space="0" w:color="auto"/>
                <w:right w:val="none" w:sz="0" w:space="0" w:color="auto"/>
              </w:divBdr>
            </w:div>
            <w:div w:id="374621836">
              <w:marLeft w:val="0"/>
              <w:marRight w:val="0"/>
              <w:marTop w:val="0"/>
              <w:marBottom w:val="0"/>
              <w:divBdr>
                <w:top w:val="none" w:sz="0" w:space="0" w:color="auto"/>
                <w:left w:val="none" w:sz="0" w:space="0" w:color="auto"/>
                <w:bottom w:val="none" w:sz="0" w:space="0" w:color="auto"/>
                <w:right w:val="none" w:sz="0" w:space="0" w:color="auto"/>
              </w:divBdr>
              <w:divsChild>
                <w:div w:id="1303542626">
                  <w:marLeft w:val="0"/>
                  <w:marRight w:val="0"/>
                  <w:marTop w:val="0"/>
                  <w:marBottom w:val="0"/>
                  <w:divBdr>
                    <w:top w:val="none" w:sz="0" w:space="0" w:color="auto"/>
                    <w:left w:val="none" w:sz="0" w:space="0" w:color="auto"/>
                    <w:bottom w:val="none" w:sz="0" w:space="0" w:color="auto"/>
                    <w:right w:val="none" w:sz="0" w:space="0" w:color="auto"/>
                  </w:divBdr>
                </w:div>
                <w:div w:id="1953398738">
                  <w:marLeft w:val="0"/>
                  <w:marRight w:val="0"/>
                  <w:marTop w:val="0"/>
                  <w:marBottom w:val="0"/>
                  <w:divBdr>
                    <w:top w:val="none" w:sz="0" w:space="0" w:color="auto"/>
                    <w:left w:val="none" w:sz="0" w:space="0" w:color="auto"/>
                    <w:bottom w:val="none" w:sz="0" w:space="0" w:color="auto"/>
                    <w:right w:val="none" w:sz="0" w:space="0" w:color="auto"/>
                  </w:divBdr>
                </w:div>
              </w:divsChild>
            </w:div>
            <w:div w:id="893269937">
              <w:marLeft w:val="0"/>
              <w:marRight w:val="0"/>
              <w:marTop w:val="0"/>
              <w:marBottom w:val="0"/>
              <w:divBdr>
                <w:top w:val="none" w:sz="0" w:space="0" w:color="auto"/>
                <w:left w:val="none" w:sz="0" w:space="0" w:color="auto"/>
                <w:bottom w:val="none" w:sz="0" w:space="0" w:color="auto"/>
                <w:right w:val="none" w:sz="0" w:space="0" w:color="auto"/>
              </w:divBdr>
              <w:divsChild>
                <w:div w:id="20025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2786">
      <w:bodyDiv w:val="1"/>
      <w:marLeft w:val="0"/>
      <w:marRight w:val="0"/>
      <w:marTop w:val="0"/>
      <w:marBottom w:val="0"/>
      <w:divBdr>
        <w:top w:val="none" w:sz="0" w:space="0" w:color="auto"/>
        <w:left w:val="none" w:sz="0" w:space="0" w:color="auto"/>
        <w:bottom w:val="none" w:sz="0" w:space="0" w:color="auto"/>
        <w:right w:val="none" w:sz="0" w:space="0" w:color="auto"/>
      </w:divBdr>
      <w:divsChild>
        <w:div w:id="1333678483">
          <w:marLeft w:val="0"/>
          <w:marRight w:val="0"/>
          <w:marTop w:val="0"/>
          <w:marBottom w:val="0"/>
          <w:divBdr>
            <w:top w:val="none" w:sz="0" w:space="0" w:color="auto"/>
            <w:left w:val="none" w:sz="0" w:space="0" w:color="auto"/>
            <w:bottom w:val="none" w:sz="0" w:space="0" w:color="auto"/>
            <w:right w:val="none" w:sz="0" w:space="0" w:color="auto"/>
          </w:divBdr>
        </w:div>
      </w:divsChild>
    </w:div>
    <w:div w:id="616059340">
      <w:bodyDiv w:val="1"/>
      <w:marLeft w:val="0"/>
      <w:marRight w:val="0"/>
      <w:marTop w:val="0"/>
      <w:marBottom w:val="0"/>
      <w:divBdr>
        <w:top w:val="none" w:sz="0" w:space="0" w:color="auto"/>
        <w:left w:val="none" w:sz="0" w:space="0" w:color="auto"/>
        <w:bottom w:val="none" w:sz="0" w:space="0" w:color="auto"/>
        <w:right w:val="none" w:sz="0" w:space="0" w:color="auto"/>
      </w:divBdr>
      <w:divsChild>
        <w:div w:id="362944601">
          <w:marLeft w:val="0"/>
          <w:marRight w:val="0"/>
          <w:marTop w:val="0"/>
          <w:marBottom w:val="0"/>
          <w:divBdr>
            <w:top w:val="none" w:sz="0" w:space="0" w:color="auto"/>
            <w:left w:val="none" w:sz="0" w:space="0" w:color="auto"/>
            <w:bottom w:val="none" w:sz="0" w:space="0" w:color="auto"/>
            <w:right w:val="none" w:sz="0" w:space="0" w:color="auto"/>
          </w:divBdr>
          <w:divsChild>
            <w:div w:id="1739017174">
              <w:marLeft w:val="0"/>
              <w:marRight w:val="0"/>
              <w:marTop w:val="0"/>
              <w:marBottom w:val="0"/>
              <w:divBdr>
                <w:top w:val="none" w:sz="0" w:space="0" w:color="auto"/>
                <w:left w:val="none" w:sz="0" w:space="0" w:color="auto"/>
                <w:bottom w:val="none" w:sz="0" w:space="0" w:color="auto"/>
                <w:right w:val="none" w:sz="0" w:space="0" w:color="auto"/>
              </w:divBdr>
            </w:div>
            <w:div w:id="1752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3098">
      <w:bodyDiv w:val="1"/>
      <w:marLeft w:val="0"/>
      <w:marRight w:val="0"/>
      <w:marTop w:val="0"/>
      <w:marBottom w:val="0"/>
      <w:divBdr>
        <w:top w:val="none" w:sz="0" w:space="0" w:color="auto"/>
        <w:left w:val="none" w:sz="0" w:space="0" w:color="auto"/>
        <w:bottom w:val="none" w:sz="0" w:space="0" w:color="auto"/>
        <w:right w:val="none" w:sz="0" w:space="0" w:color="auto"/>
      </w:divBdr>
      <w:divsChild>
        <w:div w:id="148325709">
          <w:marLeft w:val="0"/>
          <w:marRight w:val="0"/>
          <w:marTop w:val="0"/>
          <w:marBottom w:val="0"/>
          <w:divBdr>
            <w:top w:val="none" w:sz="0" w:space="0" w:color="auto"/>
            <w:left w:val="none" w:sz="0" w:space="0" w:color="auto"/>
            <w:bottom w:val="none" w:sz="0" w:space="0" w:color="auto"/>
            <w:right w:val="none" w:sz="0" w:space="0" w:color="auto"/>
          </w:divBdr>
          <w:divsChild>
            <w:div w:id="1615020914">
              <w:marLeft w:val="0"/>
              <w:marRight w:val="0"/>
              <w:marTop w:val="0"/>
              <w:marBottom w:val="0"/>
              <w:divBdr>
                <w:top w:val="none" w:sz="0" w:space="0" w:color="auto"/>
                <w:left w:val="none" w:sz="0" w:space="0" w:color="auto"/>
                <w:bottom w:val="none" w:sz="0" w:space="0" w:color="auto"/>
                <w:right w:val="none" w:sz="0" w:space="0" w:color="auto"/>
              </w:divBdr>
            </w:div>
            <w:div w:id="20807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3654">
      <w:bodyDiv w:val="1"/>
      <w:marLeft w:val="0"/>
      <w:marRight w:val="0"/>
      <w:marTop w:val="0"/>
      <w:marBottom w:val="0"/>
      <w:divBdr>
        <w:top w:val="none" w:sz="0" w:space="0" w:color="auto"/>
        <w:left w:val="none" w:sz="0" w:space="0" w:color="auto"/>
        <w:bottom w:val="none" w:sz="0" w:space="0" w:color="auto"/>
        <w:right w:val="none" w:sz="0" w:space="0" w:color="auto"/>
      </w:divBdr>
      <w:divsChild>
        <w:div w:id="1716194910">
          <w:marLeft w:val="0"/>
          <w:marRight w:val="0"/>
          <w:marTop w:val="0"/>
          <w:marBottom w:val="0"/>
          <w:divBdr>
            <w:top w:val="none" w:sz="0" w:space="0" w:color="auto"/>
            <w:left w:val="none" w:sz="0" w:space="0" w:color="auto"/>
            <w:bottom w:val="none" w:sz="0" w:space="0" w:color="auto"/>
            <w:right w:val="none" w:sz="0" w:space="0" w:color="auto"/>
          </w:divBdr>
          <w:divsChild>
            <w:div w:id="227152463">
              <w:marLeft w:val="0"/>
              <w:marRight w:val="0"/>
              <w:marTop w:val="0"/>
              <w:marBottom w:val="0"/>
              <w:divBdr>
                <w:top w:val="none" w:sz="0" w:space="0" w:color="auto"/>
                <w:left w:val="none" w:sz="0" w:space="0" w:color="auto"/>
                <w:bottom w:val="none" w:sz="0" w:space="0" w:color="auto"/>
                <w:right w:val="none" w:sz="0" w:space="0" w:color="auto"/>
              </w:divBdr>
            </w:div>
            <w:div w:id="307051835">
              <w:marLeft w:val="0"/>
              <w:marRight w:val="0"/>
              <w:marTop w:val="0"/>
              <w:marBottom w:val="0"/>
              <w:divBdr>
                <w:top w:val="none" w:sz="0" w:space="0" w:color="auto"/>
                <w:left w:val="none" w:sz="0" w:space="0" w:color="auto"/>
                <w:bottom w:val="none" w:sz="0" w:space="0" w:color="auto"/>
                <w:right w:val="none" w:sz="0" w:space="0" w:color="auto"/>
              </w:divBdr>
            </w:div>
            <w:div w:id="1652174790">
              <w:marLeft w:val="0"/>
              <w:marRight w:val="0"/>
              <w:marTop w:val="0"/>
              <w:marBottom w:val="0"/>
              <w:divBdr>
                <w:top w:val="none" w:sz="0" w:space="0" w:color="auto"/>
                <w:left w:val="none" w:sz="0" w:space="0" w:color="auto"/>
                <w:bottom w:val="none" w:sz="0" w:space="0" w:color="auto"/>
                <w:right w:val="none" w:sz="0" w:space="0" w:color="auto"/>
              </w:divBdr>
              <w:divsChild>
                <w:div w:id="499663065">
                  <w:marLeft w:val="0"/>
                  <w:marRight w:val="0"/>
                  <w:marTop w:val="0"/>
                  <w:marBottom w:val="0"/>
                  <w:divBdr>
                    <w:top w:val="none" w:sz="0" w:space="0" w:color="auto"/>
                    <w:left w:val="none" w:sz="0" w:space="0" w:color="auto"/>
                    <w:bottom w:val="none" w:sz="0" w:space="0" w:color="auto"/>
                    <w:right w:val="none" w:sz="0" w:space="0" w:color="auto"/>
                  </w:divBdr>
                </w:div>
                <w:div w:id="1756703579">
                  <w:marLeft w:val="0"/>
                  <w:marRight w:val="0"/>
                  <w:marTop w:val="0"/>
                  <w:marBottom w:val="0"/>
                  <w:divBdr>
                    <w:top w:val="none" w:sz="0" w:space="0" w:color="auto"/>
                    <w:left w:val="none" w:sz="0" w:space="0" w:color="auto"/>
                    <w:bottom w:val="none" w:sz="0" w:space="0" w:color="auto"/>
                    <w:right w:val="none" w:sz="0" w:space="0" w:color="auto"/>
                  </w:divBdr>
                </w:div>
              </w:divsChild>
            </w:div>
            <w:div w:id="2113553640">
              <w:marLeft w:val="0"/>
              <w:marRight w:val="0"/>
              <w:marTop w:val="0"/>
              <w:marBottom w:val="0"/>
              <w:divBdr>
                <w:top w:val="none" w:sz="0" w:space="0" w:color="auto"/>
                <w:left w:val="none" w:sz="0" w:space="0" w:color="auto"/>
                <w:bottom w:val="none" w:sz="0" w:space="0" w:color="auto"/>
                <w:right w:val="none" w:sz="0" w:space="0" w:color="auto"/>
              </w:divBdr>
              <w:divsChild>
                <w:div w:id="14791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732">
      <w:bodyDiv w:val="1"/>
      <w:marLeft w:val="0"/>
      <w:marRight w:val="0"/>
      <w:marTop w:val="0"/>
      <w:marBottom w:val="0"/>
      <w:divBdr>
        <w:top w:val="none" w:sz="0" w:space="0" w:color="auto"/>
        <w:left w:val="none" w:sz="0" w:space="0" w:color="auto"/>
        <w:bottom w:val="none" w:sz="0" w:space="0" w:color="auto"/>
        <w:right w:val="none" w:sz="0" w:space="0" w:color="auto"/>
      </w:divBdr>
    </w:div>
    <w:div w:id="1128016347">
      <w:bodyDiv w:val="1"/>
      <w:marLeft w:val="0"/>
      <w:marRight w:val="0"/>
      <w:marTop w:val="0"/>
      <w:marBottom w:val="0"/>
      <w:divBdr>
        <w:top w:val="none" w:sz="0" w:space="0" w:color="auto"/>
        <w:left w:val="none" w:sz="0" w:space="0" w:color="auto"/>
        <w:bottom w:val="none" w:sz="0" w:space="0" w:color="auto"/>
        <w:right w:val="none" w:sz="0" w:space="0" w:color="auto"/>
      </w:divBdr>
    </w:div>
    <w:div w:id="1139420327">
      <w:bodyDiv w:val="1"/>
      <w:marLeft w:val="0"/>
      <w:marRight w:val="0"/>
      <w:marTop w:val="0"/>
      <w:marBottom w:val="0"/>
      <w:divBdr>
        <w:top w:val="none" w:sz="0" w:space="0" w:color="auto"/>
        <w:left w:val="none" w:sz="0" w:space="0" w:color="auto"/>
        <w:bottom w:val="none" w:sz="0" w:space="0" w:color="auto"/>
        <w:right w:val="none" w:sz="0" w:space="0" w:color="auto"/>
      </w:divBdr>
    </w:div>
    <w:div w:id="1159268822">
      <w:bodyDiv w:val="1"/>
      <w:marLeft w:val="0"/>
      <w:marRight w:val="0"/>
      <w:marTop w:val="0"/>
      <w:marBottom w:val="0"/>
      <w:divBdr>
        <w:top w:val="none" w:sz="0" w:space="0" w:color="auto"/>
        <w:left w:val="none" w:sz="0" w:space="0" w:color="auto"/>
        <w:bottom w:val="none" w:sz="0" w:space="0" w:color="auto"/>
        <w:right w:val="none" w:sz="0" w:space="0" w:color="auto"/>
      </w:divBdr>
    </w:div>
    <w:div w:id="1195388112">
      <w:bodyDiv w:val="1"/>
      <w:marLeft w:val="0"/>
      <w:marRight w:val="0"/>
      <w:marTop w:val="0"/>
      <w:marBottom w:val="0"/>
      <w:divBdr>
        <w:top w:val="none" w:sz="0" w:space="0" w:color="auto"/>
        <w:left w:val="none" w:sz="0" w:space="0" w:color="auto"/>
        <w:bottom w:val="none" w:sz="0" w:space="0" w:color="auto"/>
        <w:right w:val="none" w:sz="0" w:space="0" w:color="auto"/>
      </w:divBdr>
      <w:divsChild>
        <w:div w:id="31615862">
          <w:marLeft w:val="0"/>
          <w:marRight w:val="0"/>
          <w:marTop w:val="0"/>
          <w:marBottom w:val="0"/>
          <w:divBdr>
            <w:top w:val="none" w:sz="0" w:space="0" w:color="auto"/>
            <w:left w:val="none" w:sz="0" w:space="0" w:color="auto"/>
            <w:bottom w:val="none" w:sz="0" w:space="0" w:color="auto"/>
            <w:right w:val="none" w:sz="0" w:space="0" w:color="auto"/>
          </w:divBdr>
        </w:div>
      </w:divsChild>
    </w:div>
    <w:div w:id="1232083869">
      <w:bodyDiv w:val="1"/>
      <w:marLeft w:val="0"/>
      <w:marRight w:val="0"/>
      <w:marTop w:val="0"/>
      <w:marBottom w:val="0"/>
      <w:divBdr>
        <w:top w:val="none" w:sz="0" w:space="0" w:color="auto"/>
        <w:left w:val="none" w:sz="0" w:space="0" w:color="auto"/>
        <w:bottom w:val="none" w:sz="0" w:space="0" w:color="auto"/>
        <w:right w:val="none" w:sz="0" w:space="0" w:color="auto"/>
      </w:divBdr>
      <w:divsChild>
        <w:div w:id="1168208259">
          <w:marLeft w:val="0"/>
          <w:marRight w:val="0"/>
          <w:marTop w:val="0"/>
          <w:marBottom w:val="0"/>
          <w:divBdr>
            <w:top w:val="none" w:sz="0" w:space="0" w:color="auto"/>
            <w:left w:val="none" w:sz="0" w:space="0" w:color="auto"/>
            <w:bottom w:val="none" w:sz="0" w:space="0" w:color="auto"/>
            <w:right w:val="none" w:sz="0" w:space="0" w:color="auto"/>
          </w:divBdr>
        </w:div>
      </w:divsChild>
    </w:div>
    <w:div w:id="1268931094">
      <w:bodyDiv w:val="1"/>
      <w:marLeft w:val="0"/>
      <w:marRight w:val="0"/>
      <w:marTop w:val="0"/>
      <w:marBottom w:val="0"/>
      <w:divBdr>
        <w:top w:val="none" w:sz="0" w:space="0" w:color="auto"/>
        <w:left w:val="none" w:sz="0" w:space="0" w:color="auto"/>
        <w:bottom w:val="none" w:sz="0" w:space="0" w:color="auto"/>
        <w:right w:val="none" w:sz="0" w:space="0" w:color="auto"/>
      </w:divBdr>
    </w:div>
    <w:div w:id="1451167904">
      <w:bodyDiv w:val="1"/>
      <w:marLeft w:val="0"/>
      <w:marRight w:val="0"/>
      <w:marTop w:val="0"/>
      <w:marBottom w:val="0"/>
      <w:divBdr>
        <w:top w:val="none" w:sz="0" w:space="0" w:color="auto"/>
        <w:left w:val="none" w:sz="0" w:space="0" w:color="auto"/>
        <w:bottom w:val="none" w:sz="0" w:space="0" w:color="auto"/>
        <w:right w:val="none" w:sz="0" w:space="0" w:color="auto"/>
      </w:divBdr>
    </w:div>
    <w:div w:id="18213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CE652-D1B6-AA46-8F28-45C3C6BB6BC7}">
  <ds:schemaRefs>
    <ds:schemaRef ds:uri="http://schemas.openxmlformats.org/officeDocument/2006/bibliography"/>
  </ds:schemaRefs>
</ds:datastoreItem>
</file>

<file path=customXml/itemProps2.xml><?xml version="1.0" encoding="utf-8"?>
<ds:datastoreItem xmlns:ds="http://schemas.openxmlformats.org/officeDocument/2006/customXml" ds:itemID="{53C39AFA-93FB-4839-A7A9-9AB0777964F7}">
  <ds:schemaRefs>
    <ds:schemaRef ds:uri="http://schemas.openxmlformats.org/officeDocument/2006/bibliography"/>
  </ds:schemaRefs>
</ds:datastoreItem>
</file>

<file path=customXml/itemProps3.xml><?xml version="1.0" encoding="utf-8"?>
<ds:datastoreItem xmlns:ds="http://schemas.openxmlformats.org/officeDocument/2006/customXml" ds:itemID="{096A4D6E-C8D3-41D8-BCDD-98CC9474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3875</Words>
  <Characters>22092</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ISER University of Essex</Company>
  <LinksUpToDate>false</LinksUpToDate>
  <CharactersWithSpaces>25916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ITS</cp:lastModifiedBy>
  <cp:revision>2</cp:revision>
  <cp:lastPrinted>2013-06-13T11:39:00Z</cp:lastPrinted>
  <dcterms:created xsi:type="dcterms:W3CDTF">2013-12-12T09:18:00Z</dcterms:created>
  <dcterms:modified xsi:type="dcterms:W3CDTF">2013-12-12T09:18:00Z</dcterms:modified>
</cp:coreProperties>
</file>